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40"/>
          <w:szCs w:val="40"/>
        </w:rPr>
      </w:pPr>
    </w:p>
    <w:p w:rsidR="00D71951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40"/>
          <w:szCs w:val="40"/>
        </w:rPr>
      </w:pPr>
    </w:p>
    <w:p w:rsidR="00D71951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40"/>
          <w:szCs w:val="40"/>
        </w:rPr>
      </w:pPr>
    </w:p>
    <w:p w:rsidR="00D71951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40"/>
          <w:szCs w:val="40"/>
        </w:rPr>
      </w:pPr>
    </w:p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40"/>
          <w:szCs w:val="40"/>
        </w:rPr>
      </w:pPr>
    </w:p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color w:val="000000"/>
          <w:sz w:val="40"/>
          <w:szCs w:val="40"/>
        </w:rPr>
      </w:pPr>
    </w:p>
    <w:p w:rsidR="00D71951" w:rsidRPr="0046137A" w:rsidRDefault="00D71951" w:rsidP="00A2651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44"/>
          <w:szCs w:val="40"/>
        </w:rPr>
      </w:pPr>
      <w:r w:rsidRPr="0046137A">
        <w:rPr>
          <w:rFonts w:cs="Calibri"/>
          <w:b/>
          <w:color w:val="000000"/>
          <w:sz w:val="44"/>
          <w:szCs w:val="40"/>
        </w:rPr>
        <w:t>SPECYFIKACJ</w:t>
      </w:r>
      <w:r>
        <w:rPr>
          <w:rFonts w:cs="Calibri"/>
          <w:b/>
          <w:color w:val="000000"/>
          <w:sz w:val="44"/>
          <w:szCs w:val="40"/>
        </w:rPr>
        <w:t xml:space="preserve">A </w:t>
      </w:r>
      <w:r w:rsidRPr="0046137A">
        <w:rPr>
          <w:rFonts w:cs="Calibri"/>
          <w:b/>
          <w:color w:val="000000"/>
          <w:sz w:val="44"/>
          <w:szCs w:val="40"/>
        </w:rPr>
        <w:t>TECHNICZN</w:t>
      </w:r>
      <w:r>
        <w:rPr>
          <w:rFonts w:cs="Calibri"/>
          <w:b/>
          <w:color w:val="000000"/>
          <w:sz w:val="44"/>
          <w:szCs w:val="40"/>
        </w:rPr>
        <w:t>A</w:t>
      </w:r>
    </w:p>
    <w:p w:rsidR="00D71951" w:rsidRPr="0046137A" w:rsidRDefault="00D71951" w:rsidP="00A2651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44"/>
          <w:szCs w:val="40"/>
        </w:rPr>
      </w:pPr>
      <w:r w:rsidRPr="0046137A">
        <w:rPr>
          <w:rFonts w:cs="Calibri"/>
          <w:b/>
          <w:color w:val="000000"/>
          <w:sz w:val="44"/>
          <w:szCs w:val="40"/>
        </w:rPr>
        <w:t>WYKONANIA I ODBIORU ROBÓT</w:t>
      </w:r>
      <w:r>
        <w:rPr>
          <w:rFonts w:cs="Calibri"/>
          <w:b/>
          <w:color w:val="000000"/>
          <w:sz w:val="44"/>
          <w:szCs w:val="40"/>
        </w:rPr>
        <w:br/>
        <w:t>BUDOWLANYCH</w:t>
      </w:r>
    </w:p>
    <w:p w:rsidR="00D71951" w:rsidRDefault="00D71951" w:rsidP="00A2651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40"/>
          <w:szCs w:val="40"/>
        </w:rPr>
      </w:pPr>
    </w:p>
    <w:p w:rsidR="00D71951" w:rsidRDefault="00D71951" w:rsidP="00A2651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40"/>
          <w:szCs w:val="40"/>
        </w:rPr>
      </w:pPr>
    </w:p>
    <w:p w:rsidR="00D71951" w:rsidRDefault="00D71951" w:rsidP="00A2651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40"/>
          <w:szCs w:val="40"/>
        </w:rPr>
      </w:pPr>
    </w:p>
    <w:p w:rsidR="00D71951" w:rsidRDefault="00D71951" w:rsidP="00A2651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40"/>
          <w:szCs w:val="40"/>
        </w:rPr>
      </w:pPr>
    </w:p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>POBOCZE UTWARDZONE KRUSZYWEM LANYM</w:t>
      </w:r>
    </w:p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8"/>
          <w:szCs w:val="28"/>
        </w:rPr>
      </w:pPr>
    </w:p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D71951" w:rsidRPr="00537A1A" w:rsidRDefault="00D71951" w:rsidP="004E6F6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br w:type="page"/>
      </w:r>
    </w:p>
    <w:p w:rsidR="00D71951" w:rsidRPr="00537A1A" w:rsidRDefault="00D71951" w:rsidP="004E6F6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537A1A">
        <w:rPr>
          <w:rFonts w:cs="Calibri"/>
          <w:b/>
          <w:sz w:val="20"/>
          <w:szCs w:val="20"/>
        </w:rPr>
        <w:t>SPIS TREŚCI</w:t>
      </w:r>
    </w:p>
    <w:p w:rsidR="00D71951" w:rsidRPr="00537A1A" w:rsidRDefault="00D71951" w:rsidP="004E6F6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</w:p>
    <w:p w:rsidR="00D71951" w:rsidRPr="00537A1A" w:rsidRDefault="00D71951" w:rsidP="004E6F63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1. WSTĘP</w:t>
      </w:r>
    </w:p>
    <w:p w:rsidR="00D71951" w:rsidRPr="00537A1A" w:rsidRDefault="00D71951" w:rsidP="004E6F63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2. MATERIAŁY</w:t>
      </w:r>
    </w:p>
    <w:p w:rsidR="00D71951" w:rsidRPr="00537A1A" w:rsidRDefault="00D71951" w:rsidP="004E6F63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3. SPRZĘT</w:t>
      </w:r>
    </w:p>
    <w:p w:rsidR="00D71951" w:rsidRPr="00537A1A" w:rsidRDefault="00D71951" w:rsidP="004E6F63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4. TRANSPORT</w:t>
      </w:r>
    </w:p>
    <w:p w:rsidR="00D71951" w:rsidRPr="00537A1A" w:rsidRDefault="00D71951" w:rsidP="004E6F63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5. WYKONANIE ROBÓT</w:t>
      </w:r>
    </w:p>
    <w:p w:rsidR="00D71951" w:rsidRPr="00537A1A" w:rsidRDefault="00D71951" w:rsidP="004E6F63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6. KONTROLA JAKOŚCI ROBÓT</w:t>
      </w:r>
    </w:p>
    <w:p w:rsidR="00D71951" w:rsidRPr="00537A1A" w:rsidRDefault="00D71951" w:rsidP="004E6F63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7. OBMIAR ROBÓT</w:t>
      </w:r>
    </w:p>
    <w:p w:rsidR="00D71951" w:rsidRPr="00537A1A" w:rsidRDefault="00D71951" w:rsidP="004E6F63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8. ODBIÓR ROBÓT</w:t>
      </w:r>
    </w:p>
    <w:p w:rsidR="00D71951" w:rsidRPr="00537A1A" w:rsidRDefault="00D71951" w:rsidP="004E6F63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9. PODSTAWA PŁATNOŚCI</w:t>
      </w:r>
    </w:p>
    <w:p w:rsidR="00D71951" w:rsidRPr="00537A1A" w:rsidRDefault="00D71951" w:rsidP="004E6F63">
      <w:p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Calibri"/>
          <w:sz w:val="20"/>
          <w:szCs w:val="20"/>
        </w:rPr>
      </w:pPr>
      <w:r w:rsidRPr="00537A1A">
        <w:rPr>
          <w:rFonts w:cs="Calibri"/>
          <w:sz w:val="20"/>
          <w:szCs w:val="20"/>
        </w:rPr>
        <w:t>10. PRZEPISY ZWIĄZANE</w:t>
      </w:r>
    </w:p>
    <w:p w:rsidR="00D71951" w:rsidRDefault="00D71951" w:rsidP="00A2651C">
      <w:pPr>
        <w:jc w:val="both"/>
        <w:rPr>
          <w:rFonts w:cs="Calibri"/>
          <w:b/>
          <w:color w:val="000000"/>
          <w:sz w:val="20"/>
          <w:szCs w:val="20"/>
        </w:rPr>
      </w:pPr>
    </w:p>
    <w:p w:rsidR="00D71951" w:rsidRDefault="00D71951" w:rsidP="00A2651C">
      <w:pPr>
        <w:jc w:val="both"/>
        <w:rPr>
          <w:rFonts w:cs="Calibri"/>
          <w:b/>
          <w:color w:val="000000"/>
          <w:sz w:val="20"/>
          <w:szCs w:val="20"/>
        </w:rPr>
      </w:pPr>
    </w:p>
    <w:p w:rsidR="00D71951" w:rsidRDefault="00D71951" w:rsidP="00A2651C">
      <w:pPr>
        <w:jc w:val="both"/>
        <w:rPr>
          <w:rFonts w:cs="Calibri"/>
          <w:b/>
          <w:color w:val="000000"/>
          <w:sz w:val="20"/>
          <w:szCs w:val="20"/>
        </w:rPr>
      </w:pPr>
    </w:p>
    <w:p w:rsidR="00D71951" w:rsidRDefault="00D71951" w:rsidP="00A2651C">
      <w:pPr>
        <w:jc w:val="both"/>
        <w:rPr>
          <w:rFonts w:cs="Calibri"/>
          <w:b/>
          <w:color w:val="000000"/>
          <w:sz w:val="20"/>
          <w:szCs w:val="20"/>
        </w:rPr>
      </w:pP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000000"/>
          <w:sz w:val="20"/>
          <w:szCs w:val="20"/>
        </w:rPr>
      </w:pPr>
      <w:r w:rsidRPr="000134EE">
        <w:rPr>
          <w:rFonts w:cs="Calibri"/>
          <w:b/>
          <w:color w:val="000000"/>
          <w:sz w:val="20"/>
          <w:szCs w:val="20"/>
        </w:rPr>
        <w:t>NAJWAŻNIEJSZE OZNACZENIA I SKRÓTY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567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567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OST - ogólna specyfikacja techniczna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567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ST - specyfikacja techniczna wykonania</w:t>
      </w:r>
    </w:p>
    <w:p w:rsidR="00D71951" w:rsidRDefault="00D71951" w:rsidP="00A2651C">
      <w:pPr>
        <w:jc w:val="both"/>
        <w:rPr>
          <w:rFonts w:cs="Calibri"/>
          <w:b/>
          <w:color w:val="000000"/>
          <w:sz w:val="20"/>
          <w:szCs w:val="20"/>
        </w:rPr>
      </w:pPr>
    </w:p>
    <w:p w:rsidR="00D71951" w:rsidRDefault="00D71951">
      <w:pPr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br w:type="page"/>
      </w:r>
    </w:p>
    <w:p w:rsidR="00D71951" w:rsidRPr="00D10B2C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  <w:r w:rsidRPr="00D10B2C">
        <w:rPr>
          <w:rFonts w:cs="Calibri"/>
          <w:b/>
          <w:color w:val="000000"/>
          <w:sz w:val="20"/>
          <w:szCs w:val="20"/>
        </w:rPr>
        <w:t>1. WSTĘP</w:t>
      </w:r>
    </w:p>
    <w:p w:rsidR="00D71951" w:rsidRPr="00794DF7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:rsidR="00D71951" w:rsidRPr="00D54E7E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54E7E">
        <w:rPr>
          <w:rFonts w:cs="Calibri"/>
          <w:color w:val="000000"/>
          <w:sz w:val="20"/>
          <w:szCs w:val="20"/>
        </w:rPr>
        <w:t>1.1. Przedmiot STWiOR</w:t>
      </w:r>
    </w:p>
    <w:p w:rsidR="00D71951" w:rsidRDefault="00D71951" w:rsidP="000B065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Przedmiotem niniejszej specyfikacji technicznej (STWIOR ) są wymagania ogólne dotyczące wykonania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 xml:space="preserve">odbioru robót </w:t>
      </w:r>
      <w:r>
        <w:rPr>
          <w:rFonts w:cs="Calibri"/>
          <w:sz w:val="20"/>
          <w:szCs w:val="20"/>
        </w:rPr>
        <w:t xml:space="preserve">związanych z wykonaniem utwardzenia poboczy kruszywem łamanym </w:t>
      </w:r>
      <w:r w:rsidRPr="007C3D45">
        <w:rPr>
          <w:rFonts w:cs="Calibri"/>
          <w:sz w:val="20"/>
          <w:szCs w:val="20"/>
        </w:rPr>
        <w:t>przy</w:t>
      </w:r>
      <w:r>
        <w:rPr>
          <w:rFonts w:cs="Calibri"/>
          <w:sz w:val="20"/>
          <w:szCs w:val="20"/>
        </w:rPr>
        <w:t xml:space="preserve"> </w:t>
      </w:r>
      <w:r w:rsidRPr="007C3D45">
        <w:rPr>
          <w:rFonts w:cs="Calibri"/>
          <w:sz w:val="20"/>
          <w:szCs w:val="20"/>
        </w:rPr>
        <w:t>wykonaniu</w:t>
      </w:r>
      <w:r>
        <w:rPr>
          <w:rFonts w:cs="Calibri"/>
          <w:sz w:val="20"/>
          <w:szCs w:val="20"/>
        </w:rPr>
        <w:t xml:space="preserve"> </w:t>
      </w:r>
      <w:r w:rsidRPr="00E15A58">
        <w:rPr>
          <w:rFonts w:cs="Calibri"/>
          <w:sz w:val="20"/>
          <w:szCs w:val="20"/>
        </w:rPr>
        <w:t xml:space="preserve">przy </w:t>
      </w:r>
      <w:r w:rsidRPr="00F621BD">
        <w:rPr>
          <w:rFonts w:cs="Calibri"/>
          <w:sz w:val="20"/>
          <w:szCs w:val="20"/>
        </w:rPr>
        <w:t>zadaniu pn.: „</w:t>
      </w:r>
      <w:r>
        <w:rPr>
          <w:rFonts w:cs="Calibri"/>
          <w:sz w:val="20"/>
          <w:szCs w:val="20"/>
        </w:rPr>
        <w:t>Przebudowa ul. Warzywnej w Dabrowie Tarnowskiej”</w:t>
      </w:r>
      <w:r w:rsidRPr="00F621BD">
        <w:rPr>
          <w:rFonts w:cs="Calibri"/>
          <w:sz w:val="20"/>
          <w:szCs w:val="20"/>
        </w:rPr>
        <w:t>.</w:t>
      </w:r>
    </w:p>
    <w:p w:rsidR="00D71951" w:rsidRPr="00D54E7E" w:rsidRDefault="00D71951" w:rsidP="008B2F8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="Calibri"/>
          <w:sz w:val="20"/>
          <w:szCs w:val="20"/>
        </w:rPr>
      </w:pPr>
    </w:p>
    <w:p w:rsidR="00D71951" w:rsidRDefault="00D71951" w:rsidP="00A2651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1.2. Zakres stosowania STWIOR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Szczegółowa specyfikacja techniczna wykonania i odbioru robot budowlanych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(STWIORB) stosowanej jako dokument przetargowy i kontraktowy przy zlecaniu 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realizacji robót na drogach i ulicach.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1.3. Zakres robót objętych STWIORB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Ustalenia zawarte w niniejszej specyfikacji dotyczą zasad prowadzenia robót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 xml:space="preserve">związanych z wykonaniem </w:t>
      </w:r>
      <w:r>
        <w:rPr>
          <w:rFonts w:cs="Calibri"/>
          <w:color w:val="000000"/>
          <w:sz w:val="20"/>
          <w:szCs w:val="20"/>
        </w:rPr>
        <w:br/>
      </w:r>
      <w:r w:rsidRPr="000134EE">
        <w:rPr>
          <w:rFonts w:cs="Calibri"/>
          <w:color w:val="000000"/>
          <w:sz w:val="20"/>
          <w:szCs w:val="20"/>
        </w:rPr>
        <w:t>i odbiorem utwardzonego pobocza za pomocą kruszywa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łamanego niezwiązanego (dawniej nazywanego „kruszywem stabilizowanym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mechanicznie”).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Utwardzone pobocze może być wykonane na istniejącym poboczu gruntowym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(wymagając wykonania w nim koryta), względnie może być wykonane jednocześnie z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nawierzchnią jezdni w czasie budowy nowej drogi (nie wymagając koryta).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1.4. Określenia podstawowe</w:t>
      </w:r>
    </w:p>
    <w:p w:rsidR="00D71951" w:rsidRDefault="00D71951" w:rsidP="00C17681">
      <w:pPr>
        <w:autoSpaceDE w:val="0"/>
        <w:autoSpaceDN w:val="0"/>
        <w:adjustRightInd w:val="0"/>
        <w:spacing w:after="0" w:line="240" w:lineRule="auto"/>
        <w:ind w:left="938" w:hanging="512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1.4.1. Pobocze – część korony drogi przeznaczona do chwilowego postoju pojazdów,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 xml:space="preserve">umieszczenia urządzeń </w:t>
      </w:r>
      <w:r w:rsidRPr="000134EE">
        <w:rPr>
          <w:rFonts w:cs="Calibri"/>
          <w:b/>
          <w:color w:val="000000"/>
          <w:sz w:val="20"/>
          <w:szCs w:val="20"/>
        </w:rPr>
        <w:t>organizacji i bezpieczeństwa ruchu oraz do ruchu pieszych, służąca</w:t>
      </w:r>
      <w:r w:rsidRPr="00C17681">
        <w:rPr>
          <w:rFonts w:cs="Calibri"/>
          <w:b/>
          <w:color w:val="000000"/>
          <w:sz w:val="20"/>
          <w:szCs w:val="20"/>
        </w:rPr>
        <w:t xml:space="preserve"> </w:t>
      </w:r>
      <w:r w:rsidRPr="000134EE">
        <w:rPr>
          <w:rFonts w:cs="Calibri"/>
          <w:b/>
          <w:color w:val="000000"/>
          <w:sz w:val="20"/>
          <w:szCs w:val="20"/>
        </w:rPr>
        <w:t>jednocześnie do bocznego oparcia konstrukcji</w:t>
      </w:r>
      <w:r w:rsidRPr="000134EE">
        <w:rPr>
          <w:rFonts w:cs="Calibri"/>
          <w:color w:val="000000"/>
          <w:sz w:val="20"/>
          <w:szCs w:val="20"/>
        </w:rPr>
        <w:t xml:space="preserve"> nawierzchni.</w:t>
      </w:r>
    </w:p>
    <w:p w:rsidR="00D71951" w:rsidRDefault="00D71951" w:rsidP="00C17681">
      <w:pPr>
        <w:autoSpaceDE w:val="0"/>
        <w:autoSpaceDN w:val="0"/>
        <w:adjustRightInd w:val="0"/>
        <w:spacing w:after="0" w:line="240" w:lineRule="auto"/>
        <w:ind w:left="938" w:hanging="512"/>
        <w:jc w:val="both"/>
        <w:rPr>
          <w:rFonts w:cs="Calibri"/>
          <w:color w:val="000000"/>
          <w:sz w:val="20"/>
          <w:szCs w:val="20"/>
        </w:rPr>
      </w:pPr>
    </w:p>
    <w:p w:rsidR="00D71951" w:rsidRPr="00C17681" w:rsidRDefault="00D71951" w:rsidP="00C17681">
      <w:pPr>
        <w:autoSpaceDE w:val="0"/>
        <w:autoSpaceDN w:val="0"/>
        <w:adjustRightInd w:val="0"/>
        <w:spacing w:after="0" w:line="240" w:lineRule="auto"/>
        <w:ind w:left="938" w:hanging="512"/>
        <w:jc w:val="both"/>
        <w:rPr>
          <w:rFonts w:cs="Calibri"/>
          <w:color w:val="000000"/>
          <w:sz w:val="16"/>
          <w:szCs w:val="20"/>
        </w:rPr>
      </w:pPr>
      <w:r w:rsidRPr="000134EE">
        <w:rPr>
          <w:rFonts w:cs="Calibri"/>
          <w:color w:val="000000"/>
          <w:sz w:val="20"/>
          <w:szCs w:val="20"/>
        </w:rPr>
        <w:t>1.4.2. Utwardzone pobocze – część pobocza drogowego, posiadająca w ciągu całego roku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nośność wystarczającą do przejęcia obciążenia statycznego od kół samochodów,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 xml:space="preserve">dopuszczonych do ruchu na drodze </w:t>
      </w:r>
      <w:r w:rsidRPr="000134EE">
        <w:rPr>
          <w:rFonts w:cs="Calibri"/>
          <w:color w:val="000000"/>
          <w:sz w:val="16"/>
          <w:szCs w:val="20"/>
        </w:rPr>
        <w:t>(zał. 2, rys. 1 i 2).</w:t>
      </w: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ind w:left="938" w:hanging="512"/>
        <w:jc w:val="both"/>
        <w:rPr>
          <w:rFonts w:cs="Calibri"/>
          <w:color w:val="000000"/>
          <w:sz w:val="20"/>
          <w:szCs w:val="20"/>
        </w:rPr>
      </w:pPr>
    </w:p>
    <w:p w:rsidR="00D71951" w:rsidRDefault="00D71951" w:rsidP="00C17681">
      <w:pPr>
        <w:autoSpaceDE w:val="0"/>
        <w:autoSpaceDN w:val="0"/>
        <w:adjustRightInd w:val="0"/>
        <w:spacing w:after="0" w:line="240" w:lineRule="auto"/>
        <w:ind w:left="938" w:hanging="512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1.4.3. Gruntowe pobocze – część pobocza drogowego, stanowiąca obrzeże utwardzonego</w:t>
      </w:r>
      <w:r>
        <w:rPr>
          <w:rFonts w:cs="Calibri"/>
          <w:color w:val="000000"/>
          <w:sz w:val="20"/>
          <w:szCs w:val="20"/>
        </w:rPr>
        <w:t xml:space="preserve"> pobocza, przeznaczona </w:t>
      </w:r>
      <w:r w:rsidRPr="000134EE">
        <w:rPr>
          <w:rFonts w:cs="Calibri"/>
          <w:color w:val="000000"/>
          <w:sz w:val="20"/>
          <w:szCs w:val="20"/>
        </w:rPr>
        <w:t>do ustawiania znaków i urządzeń zabezpieczenia ruchu.</w:t>
      </w: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ind w:left="938" w:hanging="512"/>
        <w:jc w:val="both"/>
        <w:rPr>
          <w:rFonts w:cs="Calibri"/>
          <w:color w:val="000000"/>
          <w:sz w:val="20"/>
          <w:szCs w:val="20"/>
        </w:rPr>
      </w:pPr>
    </w:p>
    <w:p w:rsidR="00D71951" w:rsidRDefault="00D71951" w:rsidP="00C17681">
      <w:pPr>
        <w:autoSpaceDE w:val="0"/>
        <w:autoSpaceDN w:val="0"/>
        <w:adjustRightInd w:val="0"/>
        <w:spacing w:after="0" w:line="240" w:lineRule="auto"/>
        <w:ind w:left="938" w:hanging="512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1.4.4. Utwardzenie pobocza kruszywem łamanym niezwiązanym – proces technologiczny,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polegający na odpowiednim zagęszczeniu w optymalnej wilgotności kruszywa o właściwie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dobranym uziarnieniu (proces ten nazywany był dawniej stabilizacją mechaniczną).</w:t>
      </w: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ind w:left="938" w:hanging="512"/>
        <w:jc w:val="both"/>
        <w:rPr>
          <w:rFonts w:cs="Calibri"/>
          <w:color w:val="000000"/>
          <w:sz w:val="20"/>
          <w:szCs w:val="20"/>
        </w:rPr>
      </w:pPr>
    </w:p>
    <w:p w:rsidR="00D71951" w:rsidRDefault="00D71951" w:rsidP="00C17681">
      <w:pPr>
        <w:autoSpaceDE w:val="0"/>
        <w:autoSpaceDN w:val="0"/>
        <w:adjustRightInd w:val="0"/>
        <w:spacing w:after="0" w:line="240" w:lineRule="auto"/>
        <w:ind w:left="938" w:hanging="512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1.4.5. Pozostałe określenia podstawowe są zgodne z obowiązującymi, odpowiednimi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 xml:space="preserve">polskimi normami </w:t>
      </w:r>
      <w:r>
        <w:rPr>
          <w:rFonts w:cs="Calibri"/>
          <w:color w:val="000000"/>
          <w:sz w:val="20"/>
          <w:szCs w:val="20"/>
        </w:rPr>
        <w:br/>
      </w:r>
      <w:r w:rsidRPr="000134EE">
        <w:rPr>
          <w:rFonts w:cs="Calibri"/>
          <w:color w:val="000000"/>
          <w:sz w:val="20"/>
          <w:szCs w:val="20"/>
        </w:rPr>
        <w:t>i z definicjami podanymi w OST D-M-00.00.00 „Wymagania ogólne”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pkt 1.4.</w:t>
      </w: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ind w:left="938" w:hanging="512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1.5. Ogólne wymagania dotyczące robót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Ogólne wymagania dotyczące robót podano w OST D-M-00.00.00 „Wymagania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ogólne” [1] pkt 1.5.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  <w:r w:rsidRPr="000134EE">
        <w:rPr>
          <w:rFonts w:cs="Calibri"/>
          <w:b/>
          <w:color w:val="000000"/>
          <w:sz w:val="20"/>
          <w:szCs w:val="20"/>
        </w:rPr>
        <w:t>2. MATERIAŁY</w:t>
      </w: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2.1. Ogólne wymagania dotyczące materiałów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Ogólne wymagania dotyczące materiałów, ich pozyskiwania i składowania,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podano w OST D-M-00.00.00 „Wymagania ogólne” [1] pkt 2.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2.2. Materiały do wykonania robót</w:t>
      </w:r>
    </w:p>
    <w:p w:rsidR="00D71951" w:rsidRDefault="00D71951" w:rsidP="00C17681">
      <w:pPr>
        <w:autoSpaceDE w:val="0"/>
        <w:autoSpaceDN w:val="0"/>
        <w:adjustRightInd w:val="0"/>
        <w:spacing w:after="0" w:line="240" w:lineRule="auto"/>
        <w:ind w:left="851" w:hanging="487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2.2.1. Zgodność materiałów z dokumentacją projektową</w:t>
      </w:r>
      <w:r>
        <w:rPr>
          <w:rFonts w:cs="Calibri"/>
          <w:color w:val="000000"/>
          <w:sz w:val="20"/>
          <w:szCs w:val="20"/>
        </w:rPr>
        <w:t>.</w:t>
      </w:r>
    </w:p>
    <w:p w:rsidR="00D71951" w:rsidRDefault="00D71951" w:rsidP="00C1768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Materiały do wykonania robót powinny być zgodne z ustaleniami dokumentacji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projektowej lub ST.</w:t>
      </w: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ind w:left="851" w:hanging="487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2.2.2. Materiały do wykonania utwardzonego pobocza</w:t>
      </w:r>
    </w:p>
    <w:p w:rsidR="00D71951" w:rsidRDefault="00D71951" w:rsidP="00C1768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Materiałami stosowanymi przy wykonywaniu utwardzonego pobocza są: piasek,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kruszywo łamane i woda.</w:t>
      </w: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ind w:left="851" w:hanging="487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2.2.3. Piasek</w:t>
      </w:r>
    </w:p>
    <w:p w:rsidR="00D71951" w:rsidRDefault="00D71951" w:rsidP="00C1768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W przypadku występowania w konstrukcji utwardzonego pobocza warstwy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odsączającej, odcinającej i innej, wykonanej przy użyciu piasku, to powinien on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odpowiadać wymaganiom PN-EN 13242:2004 [4] lub PN-EN 13285:2004 [5].</w:t>
      </w:r>
    </w:p>
    <w:p w:rsidR="00D71951" w:rsidRDefault="00D71951" w:rsidP="00C1768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ind w:left="851" w:hanging="487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2.2.4. Kruszywo</w:t>
      </w:r>
    </w:p>
    <w:p w:rsidR="00D71951" w:rsidRDefault="00D71951" w:rsidP="00C1768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Do utwardzenia pobocza należy stosować kruszywo łamane o uziarnieniu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0÷25 mm, odpowiadające wymaganiom PN-EN 13242:2004 [4] lub PN-EN 13285:2004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[5].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Kruszywo powinno być jednorodne, bez zanieczyszczeń obcych i bez domieszek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gliny. Zaleca się użycie kruszywa o jasnej barwie.</w:t>
      </w: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ind w:left="851" w:hanging="487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2.2.5. Woda</w:t>
      </w:r>
    </w:p>
    <w:p w:rsidR="00D71951" w:rsidRDefault="00D71951" w:rsidP="00C1768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Należy stosować przy wałowaniu nawierzchni każdą czystą wodę z rzek, jezior,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stawów i innych zbiorników otwartych oraz wodę studzienną i wodociągową. Nie należy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stosować wody z widocznymi zanieczyszczeniami, np. śmieciami, roślinnością wodną,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odpadami przemysłowymi, kanalizacyjnymi itp.</w:t>
      </w: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ind w:left="851" w:hanging="487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2.2.6. Składowanie kruszyw</w:t>
      </w:r>
    </w:p>
    <w:p w:rsidR="00D71951" w:rsidRDefault="00D71951" w:rsidP="00C1768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Okresowo składowane kruszywa powinny być zabezpieczone przed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 xml:space="preserve">zanieczyszczeniem i zmieszaniem </w:t>
      </w:r>
      <w:r>
        <w:rPr>
          <w:rFonts w:cs="Calibri"/>
          <w:color w:val="000000"/>
          <w:sz w:val="20"/>
          <w:szCs w:val="20"/>
        </w:rPr>
        <w:br/>
      </w:r>
      <w:r w:rsidRPr="000134EE">
        <w:rPr>
          <w:rFonts w:cs="Calibri"/>
          <w:color w:val="000000"/>
          <w:sz w:val="20"/>
          <w:szCs w:val="20"/>
        </w:rPr>
        <w:t>z innymi materiałami kamiennymi. Podłoże w miejscu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składowania kruszyw powinno być równe, utwardzone i odwodnione.</w:t>
      </w: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3. SPRZĘT</w:t>
      </w: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3.1. Ogólne wymagania dotyczące sprzętu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Ogólne wymagania dotyczące sprzętu podano w OST D-M-00.00.00 „Wymagania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ogólne” [1] pkt 3.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3.2. Sprzęt stosowany do wykonania robót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Przy wykonywaniu robót Wykonawca w zależności od potrzeb, powinien wykazać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się możliwością korzystania ze sprzętu dostosowanego do przyjętej metody robót, jak:</w:t>
      </w:r>
    </w:p>
    <w:p w:rsidR="00D71951" w:rsidRPr="00C17681" w:rsidRDefault="00D71951" w:rsidP="002C33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C17681">
        <w:rPr>
          <w:rFonts w:cs="Calibri"/>
          <w:color w:val="000000"/>
          <w:sz w:val="20"/>
          <w:szCs w:val="20"/>
        </w:rPr>
        <w:t>mieszarki stacjonarne do wytwarzania mieszanki kruszyw, wyposażone w urządzenia dozujące wodę (mieszarki powinny zapewnić wytworzenie jednorodnej mieszanki o</w:t>
      </w:r>
      <w:r>
        <w:rPr>
          <w:rFonts w:cs="Calibri"/>
          <w:color w:val="000000"/>
          <w:sz w:val="20"/>
          <w:szCs w:val="20"/>
        </w:rPr>
        <w:t xml:space="preserve"> </w:t>
      </w:r>
      <w:r w:rsidRPr="00C17681">
        <w:rPr>
          <w:rFonts w:cs="Calibri"/>
          <w:color w:val="000000"/>
          <w:sz w:val="20"/>
          <w:szCs w:val="20"/>
        </w:rPr>
        <w:t>wilgotności optymalnej, chyba że producent kruszywa zapewnia dostawę jednorodnej</w:t>
      </w:r>
    </w:p>
    <w:p w:rsidR="00D71951" w:rsidRPr="00C17681" w:rsidRDefault="00D71951" w:rsidP="002C33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C17681">
        <w:rPr>
          <w:rFonts w:cs="Calibri"/>
          <w:color w:val="000000"/>
          <w:sz w:val="20"/>
          <w:szCs w:val="20"/>
        </w:rPr>
        <w:t>mieszanki o wymaganym uziarnieniu i odpowiedniej wilgotności),</w:t>
      </w:r>
    </w:p>
    <w:p w:rsidR="00D71951" w:rsidRPr="00C17681" w:rsidRDefault="00D71951" w:rsidP="002C33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C17681">
        <w:rPr>
          <w:rFonts w:cs="Calibri"/>
          <w:color w:val="000000"/>
          <w:sz w:val="20"/>
          <w:szCs w:val="20"/>
        </w:rPr>
        <w:t>równiarki albo układarki do rozkładania mieszanki kruszywa,</w:t>
      </w:r>
    </w:p>
    <w:p w:rsidR="00D71951" w:rsidRPr="00C17681" w:rsidRDefault="00D71951" w:rsidP="002C33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C17681">
        <w:rPr>
          <w:rFonts w:cs="Calibri"/>
          <w:color w:val="000000"/>
          <w:sz w:val="20"/>
          <w:szCs w:val="20"/>
        </w:rPr>
        <w:t>walce lub płytowe zagęszczarki wibracyjne,</w:t>
      </w:r>
    </w:p>
    <w:p w:rsidR="00D71951" w:rsidRPr="00C17681" w:rsidRDefault="00D71951" w:rsidP="002C33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C17681">
        <w:rPr>
          <w:rFonts w:cs="Calibri"/>
          <w:color w:val="000000"/>
          <w:sz w:val="20"/>
          <w:szCs w:val="20"/>
        </w:rPr>
        <w:t>przewoźne zbiorniki na wodę do zwilżania mieszanki, wyposażone w urządzenia do</w:t>
      </w:r>
      <w:r>
        <w:rPr>
          <w:rFonts w:cs="Calibri"/>
          <w:color w:val="000000"/>
          <w:sz w:val="20"/>
          <w:szCs w:val="20"/>
        </w:rPr>
        <w:t xml:space="preserve"> </w:t>
      </w:r>
      <w:r w:rsidRPr="00C17681">
        <w:rPr>
          <w:rFonts w:cs="Calibri"/>
          <w:color w:val="000000"/>
          <w:sz w:val="20"/>
          <w:szCs w:val="20"/>
        </w:rPr>
        <w:t xml:space="preserve">równomiernego </w:t>
      </w:r>
      <w:r>
        <w:rPr>
          <w:rFonts w:cs="Calibri"/>
          <w:color w:val="000000"/>
          <w:sz w:val="20"/>
          <w:szCs w:val="20"/>
        </w:rPr>
        <w:br/>
      </w:r>
      <w:r w:rsidRPr="00C17681">
        <w:rPr>
          <w:rFonts w:cs="Calibri"/>
          <w:color w:val="000000"/>
          <w:sz w:val="20"/>
          <w:szCs w:val="20"/>
        </w:rPr>
        <w:t>i kontrolowanego dozowania wody,</w:t>
      </w:r>
    </w:p>
    <w:p w:rsidR="00D71951" w:rsidRPr="00C17681" w:rsidRDefault="00D71951" w:rsidP="002C33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C17681">
        <w:rPr>
          <w:rFonts w:cs="Calibri"/>
          <w:color w:val="000000"/>
          <w:sz w:val="20"/>
          <w:szCs w:val="20"/>
        </w:rPr>
        <w:t>koparki do wykonania koryta, w przypadku utwardzania istniejącego pobocza</w:t>
      </w:r>
      <w:r>
        <w:rPr>
          <w:rFonts w:cs="Calibri"/>
          <w:color w:val="000000"/>
          <w:sz w:val="20"/>
          <w:szCs w:val="20"/>
        </w:rPr>
        <w:t xml:space="preserve"> </w:t>
      </w:r>
      <w:r w:rsidRPr="00C17681">
        <w:rPr>
          <w:rFonts w:cs="Calibri"/>
          <w:color w:val="000000"/>
          <w:sz w:val="20"/>
          <w:szCs w:val="20"/>
        </w:rPr>
        <w:t>gruntowego.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Należy korzystać ze sprzętu, który powinien być dostosowany swoimi wymiarami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do warunków pracy w korycie, przygotowanym do ułożenia konstrukcji utwardzonego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pobocza.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Sprzęt powinien odpowiadać wymaganiom określonym w dokumentacji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projektowej, ST, instrukcjach producentów lub propozycji Wykonawcy i powinien być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zaakceptowany przez Inżyniera.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  <w:r w:rsidRPr="000134EE">
        <w:rPr>
          <w:rFonts w:cs="Calibri"/>
          <w:b/>
          <w:color w:val="000000"/>
          <w:sz w:val="20"/>
          <w:szCs w:val="20"/>
        </w:rPr>
        <w:t>4. TRANSPORT</w:t>
      </w:r>
    </w:p>
    <w:p w:rsidR="00D71951" w:rsidRPr="000134EE" w:rsidRDefault="00D71951" w:rsidP="00C1768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4.1. Ogólne wymagania dotyczące transportu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Ogólne wymagania dotyczące transportu podano w STWIORB nr 01 D-M-00.00.00 „Wymagania ogólne” [1] pkt 4.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09 Pobocze utwardzone kruszywem łamanym D-06.03.01a</w:t>
      </w:r>
      <w:r>
        <w:rPr>
          <w:rFonts w:cs="Calibri"/>
          <w:color w:val="000000"/>
          <w:sz w:val="20"/>
          <w:szCs w:val="20"/>
        </w:rPr>
        <w:t xml:space="preserve"> 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5A513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4.2. Transport materiałów</w:t>
      </w:r>
    </w:p>
    <w:p w:rsidR="00D71951" w:rsidRDefault="00D71951" w:rsidP="005A5135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Materiały sypkie (kruszywa) można przewozić dowolnymi środkami transportu, w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warunkach zabezpieczających je przed zanieczyszczeniem, zmieszaniem z innymi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materiałami i nadmiernym zawilgoceniem.</w:t>
      </w:r>
    </w:p>
    <w:p w:rsidR="00D71951" w:rsidRPr="000134EE" w:rsidRDefault="00D71951" w:rsidP="005A5135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5A513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  <w:r w:rsidRPr="000134EE">
        <w:rPr>
          <w:rFonts w:cs="Calibri"/>
          <w:b/>
          <w:color w:val="000000"/>
          <w:sz w:val="20"/>
          <w:szCs w:val="20"/>
        </w:rPr>
        <w:t>5. WYKONANIE ROBÓT</w:t>
      </w:r>
    </w:p>
    <w:p w:rsidR="00D71951" w:rsidRPr="000134EE" w:rsidRDefault="00D71951" w:rsidP="005A513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5.1. Ogólne zasady wykonania robót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Ogólne zasady wykonania robót podano w STWIORB D-M-00.00.00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„Wymagania ogólne” [1] pkt 5.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35094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5.2. Zasady wykonywania robót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Sposób wykonania robót powinny być zgodne z dokumentacją projektową i ST. W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przypadku braku wystarczających danych można korzystać z ustaleń podanych w niniejszej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specyfikacji oraz z informacji podanych w załącznikach.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Podstawowe czynności przy wykonywaniu robót obejmują: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1. roboty przygotowawcze,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2. wykonanie koryta,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3. ułożenie nawierzchni utwardzonego pobocza (wytworzenie i wbudowanie mieszanki),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4. roboty wykończeniowe.</w:t>
      </w:r>
    </w:p>
    <w:p w:rsidR="00D71951" w:rsidRPr="000134EE" w:rsidRDefault="00D71951" w:rsidP="00E420C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5.3. Roboty przygotowawcze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Przed przystąpieniem do robót należy, na podstawie dokumentacji projektowej,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ST lub wskazań Inżyniera:</w:t>
      </w:r>
    </w:p>
    <w:p w:rsidR="00D71951" w:rsidRPr="00E420CC" w:rsidRDefault="00D71951" w:rsidP="002C33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E420CC">
        <w:rPr>
          <w:rFonts w:cs="Calibri"/>
          <w:color w:val="000000"/>
          <w:sz w:val="20"/>
          <w:szCs w:val="20"/>
        </w:rPr>
        <w:t>ustalić lokalizację terenu robót,</w:t>
      </w:r>
    </w:p>
    <w:p w:rsidR="00D71951" w:rsidRPr="00E420CC" w:rsidRDefault="00D71951" w:rsidP="002C33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E420CC">
        <w:rPr>
          <w:rFonts w:cs="Calibri"/>
          <w:color w:val="000000"/>
          <w:sz w:val="20"/>
          <w:szCs w:val="20"/>
        </w:rPr>
        <w:t>przeprowadzić obliczenia i pomiary geodezyjne niezbędne do szczegółowego</w:t>
      </w:r>
      <w:r>
        <w:rPr>
          <w:rFonts w:cs="Calibri"/>
          <w:color w:val="000000"/>
          <w:sz w:val="20"/>
          <w:szCs w:val="20"/>
        </w:rPr>
        <w:t xml:space="preserve"> </w:t>
      </w:r>
      <w:r w:rsidRPr="00E420CC">
        <w:rPr>
          <w:rFonts w:cs="Calibri"/>
          <w:color w:val="000000"/>
          <w:sz w:val="20"/>
          <w:szCs w:val="20"/>
        </w:rPr>
        <w:t>wytyczenia robót oraz ustalenia danych wysokościowych,</w:t>
      </w:r>
    </w:p>
    <w:p w:rsidR="00D71951" w:rsidRPr="00E420CC" w:rsidRDefault="00D71951" w:rsidP="002C33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E420CC">
        <w:rPr>
          <w:rFonts w:cs="Calibri"/>
          <w:color w:val="000000"/>
          <w:sz w:val="20"/>
          <w:szCs w:val="20"/>
        </w:rPr>
        <w:t>usunąć przeszkody, np. elementy dróg, ew. słupki, zatrawienie itd.,</w:t>
      </w:r>
    </w:p>
    <w:p w:rsidR="00D71951" w:rsidRPr="00E420CC" w:rsidRDefault="00D71951" w:rsidP="002C33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E420CC">
        <w:rPr>
          <w:rFonts w:cs="Calibri"/>
          <w:color w:val="000000"/>
          <w:sz w:val="20"/>
          <w:szCs w:val="20"/>
        </w:rPr>
        <w:t>ew. splantować pobocze istniejące,</w:t>
      </w:r>
    </w:p>
    <w:p w:rsidR="00D71951" w:rsidRPr="00E420CC" w:rsidRDefault="00D71951" w:rsidP="002C33C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E420CC">
        <w:rPr>
          <w:rFonts w:cs="Calibri"/>
          <w:color w:val="000000"/>
          <w:sz w:val="20"/>
          <w:szCs w:val="20"/>
        </w:rPr>
        <w:t>zgromadzić wszystkie materiały potrzebne do rozpoczęcia budowy.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Zaleca się korzystanie z ustaleń STWIORB D-01.00.00 [2] w zakresie niezbędnym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do wykonania robót przygotowawczych oraz z ustaleń OST D-02.00.00 [3] przy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występowaniu robót ziemnych.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E420C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5.4. Wykonanie koryta i przygotowanie podłoża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Koryto wykonuje się w przypadku utwardzania pobocza istniejącego gruntowego.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Koryto powinno być wykonane bezpośrednio przed rozpoczęciem robót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związanych z wykonaniem nawierzchni utwardzonego pobocza. Wcześniejsze wykonanie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koryta jest możliwe wyłącznie za zgodą Inżyniera, w korzystnych warunkach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atmosferycznych.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Koryto można wykonywać ręcznie, gdy jego szerokość nie pozwala na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zastosowanie posiadanych maszyn. Rodzaj sprzętu, a w szczególności jego moc należy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dostosować do rodzaju gruntu, w którym prowadzone są roboty i do trudności jego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odspojenia.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Grunt odspojony w czasie wykonywania koryta powinien być wykorzystany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 xml:space="preserve">zgodnie </w:t>
      </w:r>
      <w:r>
        <w:rPr>
          <w:rFonts w:cs="Calibri"/>
          <w:color w:val="000000"/>
          <w:sz w:val="20"/>
          <w:szCs w:val="20"/>
        </w:rPr>
        <w:br/>
      </w:r>
      <w:r w:rsidRPr="000134EE">
        <w:rPr>
          <w:rFonts w:cs="Calibri"/>
          <w:color w:val="000000"/>
          <w:sz w:val="20"/>
          <w:szCs w:val="20"/>
        </w:rPr>
        <w:t>z ustaleniami dokumentacji projektowej i ST, tj. wbudowany w nasyp lub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odwieziony na odkład w miejsce wskazane lub zaaprobowane przez Inżyniera.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Przed przystąpieniem do profilowania dna koryta, podłoże powinno być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oczyszczone z wszelkich zanieczyszczeń. Po oczyszczeniu powierzchni podłoża należy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sprawdzić, czy istniejące rzędne terenu umożliwiają uzyskanie po profilowaniu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zaprojektowanych rzędnych podłoża.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Zaleca się, aby rzędne terenu przed profilowaniem były o co najmniej 5 cm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wyższe niż projektowane rzędne podłoża. Jeżeli powyższy warunek nie jest spełniony 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występują zaniżenia poziomu w podłożu przewidzianym do profilowania, Wykonawca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powinien spulchnić podłoże na głębokość zaakceptowaną przez Inżyniera, dowieźć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dodatkowy grunt, spełniający wymagania obowiązujące dla górnej strefy korpusu, w ilości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koniecznej do uzyskania wymaganych rzędnych wysokościowych i zagęścić warstwę do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uzyskania wskaźnika zagęszczenia 1,00.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Profilowanie można wykonać ręcznie lub sprzętem dostosowanym do szerokości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koryta. Ścięty grunt powinien być wykorzystany w robotach ziemnych lub w inny sposób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zaakceptowany przez Inżyniera.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Bezpośrednio po profilowaniu podłoża należy przystąpić do jego zagęszczania,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które należy kontynuować do osiągnięcia wskaźnika zagęszczenia nie mniejszego od 1,00.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Wilgotność gruntu podłoża podczas zagęszczania powinna być równa wilgotności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optymalnej, z tolerancją od -20% do +10%.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Koryto po wyprofilowaniu i zagęszczeniu powinno być utrzymane w dobrym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stanie.</w:t>
      </w:r>
    </w:p>
    <w:p w:rsidR="00D71951" w:rsidRPr="000134EE" w:rsidRDefault="00D71951" w:rsidP="00D019C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Jeżeli po wykonaniu robót związanych z profilowaniem i zagęszczeniem podłoża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 xml:space="preserve">nastąpi przerwa w robotach </w:t>
      </w:r>
      <w:r>
        <w:rPr>
          <w:rFonts w:cs="Calibri"/>
          <w:color w:val="000000"/>
          <w:sz w:val="20"/>
          <w:szCs w:val="20"/>
        </w:rPr>
        <w:br/>
      </w:r>
      <w:r w:rsidRPr="000134EE">
        <w:rPr>
          <w:rFonts w:cs="Calibri"/>
          <w:color w:val="000000"/>
          <w:sz w:val="20"/>
          <w:szCs w:val="20"/>
        </w:rPr>
        <w:t>i Wykonawca nie przystąpi natychmiast do układania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nawierzchni, to powinien on zabezpieczyć podłoże przed nadmiernym zawilgoceniem, na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przykład przez rozłożenie folii lub w inny sposób zaakceptowany przez Inżyniera.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Jeżeli podłoże uległo nadmiernemu zawilgoceniu, to do układania nawierzchni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można przystąpić dopiero po jego naturalnym osuszeniu.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8A7F7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5.5. Wytwarzanie mieszanki kruszywa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Mieszankę kruszywa o ściśle określonym uziarnieniu i wilgotności optymalnej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należy wytwarzać w mieszarkach stacjonarnych gwarantujących otrzymanie jednorodnej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mieszanki. Ze względu na konieczność zapewnienia jednorodności, tylko w wyjątkowych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przypadkach Inżynier może dopuścić do wytwarzania mieszanki przez mieszanie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poszczególnych frakcji na drodze. Mieszanka po wyprodukowaniu powinna być od razu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transportowana na miejsce wbudowania w sposób przeciwdziałający rozsegregowaniu 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wysychaniu.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8A7F7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5.6. Wbudowanie i zagęszczenie mieszanki kruszywa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FF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Mieszanka kruszywa powinna być rozkładana w warstwie o jednakowej grubości,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przy pomocy układarki lub równiarki, z zachowaniem wymaganych spadków i rzędnych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wysokościowych. Zaleca się, aby grubość pojedynczo układanej warstwy nie przekraczała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20 cm po zagęszczeniu. Rozpoczęcie budowy następnej warstwy może nastąpić po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 xml:space="preserve">odbiorze poprzedniej warstwy przez Inżyniera. </w:t>
      </w:r>
      <w:r w:rsidRPr="000134EE">
        <w:rPr>
          <w:rFonts w:cs="Calibri"/>
          <w:b/>
          <w:sz w:val="20"/>
          <w:szCs w:val="20"/>
        </w:rPr>
        <w:t>W miejscach, gdzie widoczna jest</w:t>
      </w:r>
      <w:r w:rsidRPr="006009CC">
        <w:rPr>
          <w:rFonts w:cs="Calibri"/>
          <w:b/>
          <w:sz w:val="20"/>
          <w:szCs w:val="20"/>
        </w:rPr>
        <w:t xml:space="preserve"> </w:t>
      </w:r>
      <w:r w:rsidRPr="000134EE">
        <w:rPr>
          <w:rFonts w:cs="Calibri"/>
          <w:b/>
          <w:sz w:val="20"/>
          <w:szCs w:val="20"/>
        </w:rPr>
        <w:t>segregacja kruszywa, należy przed zagęszczeniem wymienić kruszywo na materiał o</w:t>
      </w:r>
      <w:r w:rsidRPr="006009CC">
        <w:rPr>
          <w:rFonts w:cs="Calibri"/>
          <w:b/>
          <w:sz w:val="20"/>
          <w:szCs w:val="20"/>
        </w:rPr>
        <w:t xml:space="preserve"> </w:t>
      </w:r>
      <w:r w:rsidRPr="000134EE">
        <w:rPr>
          <w:rFonts w:cs="Calibri"/>
          <w:b/>
          <w:sz w:val="20"/>
          <w:szCs w:val="20"/>
        </w:rPr>
        <w:t>odpowiednich właściwościach.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b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Zagęszczanie należy rozpocząć od dolnej krawędzi i przesuwać pasami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podłużnymi, częściowo nakładającymi się, w kierunku górnej krawędzi. Nierówności 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zagłębienia powstające w czasie zagęszczania powinny być wyrównywane bieżąco przez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spulchnienie warstwy kruszywa i dodanie bądź usunięcie materiału, aż do otrzymania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 xml:space="preserve">równej powierzchni. </w:t>
      </w:r>
      <w:r w:rsidRPr="000134EE">
        <w:rPr>
          <w:rFonts w:cs="Calibri"/>
          <w:b/>
          <w:sz w:val="20"/>
          <w:szCs w:val="20"/>
        </w:rPr>
        <w:t>Zagęszczenie należy kontynuować do osiągnięcia wskaźnika</w:t>
      </w:r>
      <w:r w:rsidRPr="006009CC">
        <w:rPr>
          <w:rFonts w:cs="Calibri"/>
          <w:b/>
          <w:sz w:val="20"/>
          <w:szCs w:val="20"/>
        </w:rPr>
        <w:t xml:space="preserve"> </w:t>
      </w:r>
      <w:r w:rsidRPr="000134EE">
        <w:rPr>
          <w:rFonts w:cs="Calibri"/>
          <w:b/>
          <w:sz w:val="20"/>
          <w:szCs w:val="20"/>
        </w:rPr>
        <w:t>zagęszczenia nie mniejszego niż 1,0 według normalnej próby Proctora, przeprowadzonej</w:t>
      </w:r>
      <w:r w:rsidRPr="006009CC">
        <w:rPr>
          <w:rFonts w:cs="Calibri"/>
          <w:b/>
          <w:sz w:val="20"/>
          <w:szCs w:val="20"/>
        </w:rPr>
        <w:t xml:space="preserve"> </w:t>
      </w:r>
      <w:r w:rsidRPr="000134EE">
        <w:rPr>
          <w:rFonts w:cs="Calibri"/>
          <w:b/>
          <w:sz w:val="20"/>
          <w:szCs w:val="20"/>
        </w:rPr>
        <w:t xml:space="preserve">według PN-B-04481:1988 [6]. </w:t>
      </w:r>
      <w:r>
        <w:rPr>
          <w:rFonts w:cs="Calibri"/>
          <w:b/>
          <w:sz w:val="20"/>
          <w:szCs w:val="20"/>
        </w:rPr>
        <w:br/>
      </w:r>
      <w:r w:rsidRPr="000134EE">
        <w:rPr>
          <w:rFonts w:cs="Calibri"/>
          <w:b/>
          <w:sz w:val="20"/>
          <w:szCs w:val="20"/>
        </w:rPr>
        <w:t>Do zagęszczenia zaleca się stosowanie maszyn (np.</w:t>
      </w:r>
      <w:r w:rsidRPr="006009CC">
        <w:rPr>
          <w:rFonts w:cs="Calibri"/>
          <w:b/>
          <w:sz w:val="20"/>
          <w:szCs w:val="20"/>
        </w:rPr>
        <w:t xml:space="preserve"> </w:t>
      </w:r>
      <w:r w:rsidRPr="000134EE">
        <w:rPr>
          <w:rFonts w:cs="Calibri"/>
          <w:b/>
          <w:sz w:val="20"/>
          <w:szCs w:val="20"/>
        </w:rPr>
        <w:t>walców, zagęszczarek płytowych) o szerokości nie większej niż szerokość utwardzonego</w:t>
      </w:r>
      <w:r w:rsidRPr="006009CC">
        <w:rPr>
          <w:rFonts w:cs="Calibri"/>
          <w:b/>
          <w:sz w:val="20"/>
          <w:szCs w:val="20"/>
        </w:rPr>
        <w:t xml:space="preserve"> </w:t>
      </w:r>
      <w:r w:rsidRPr="000134EE">
        <w:rPr>
          <w:rFonts w:cs="Calibri"/>
          <w:b/>
          <w:sz w:val="20"/>
          <w:szCs w:val="20"/>
        </w:rPr>
        <w:t>pobocza.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Wilgotność mieszanki kruszywa podczas zagęszczania powinna odpowiadać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 xml:space="preserve">wilgotności optymalnej z tolerancją </w:t>
      </w:r>
      <w:r>
        <w:rPr>
          <w:rFonts w:cs="Calibri"/>
          <w:color w:val="000000"/>
          <w:sz w:val="20"/>
          <w:szCs w:val="20"/>
        </w:rPr>
        <w:br/>
      </w:r>
      <w:r w:rsidRPr="000134EE">
        <w:rPr>
          <w:rFonts w:cs="Calibri"/>
          <w:color w:val="000000"/>
          <w:sz w:val="20"/>
          <w:szCs w:val="20"/>
        </w:rPr>
        <w:t>± 2%. Materiał nadmiernie nawilgocony, powinien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 xml:space="preserve">zostać osuszony przez mieszanie i napowietrzanie. 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W przypadku, gdy wilgotność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mieszanki kruszywa jest niższa od optymalnej, mieszanka powinna być zwilżona określoną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ilością wody i równomiernie wymieszana.</w:t>
      </w:r>
      <w:r>
        <w:rPr>
          <w:rFonts w:cs="Calibri"/>
          <w:color w:val="000000"/>
          <w:sz w:val="20"/>
          <w:szCs w:val="20"/>
        </w:rPr>
        <w:t xml:space="preserve"> 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Przy wbudowywaniu i zagęszczaniu mieszanki kruszywa na utwardzonym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poboczu należy zwrócić szczególną uwagę na właściwe jego wykonanie przy krawędzi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jezdni. Styk jezdni i utwardzonego pobocza powinien być równy i szczelny.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6009C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5.7. Roboty wykończeniowe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Roboty wykończeniowe powinny być zgodne z dokumentacją projektową i ST. Do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robót wykończeniowych należą prace związane z dostosowaniem wykonanych robót do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istniejących warunków terenowych, takie jak:</w:t>
      </w:r>
    </w:p>
    <w:p w:rsidR="00D71951" w:rsidRPr="006009CC" w:rsidRDefault="00D71951" w:rsidP="002C33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6009CC">
        <w:rPr>
          <w:rFonts w:cs="Calibri"/>
          <w:color w:val="000000"/>
          <w:sz w:val="20"/>
          <w:szCs w:val="20"/>
        </w:rPr>
        <w:t>wyrównanie poziomu utwardzonego pobocza i gruntowego pobocza z ewentualnym splantowaniem istniejącego gruntowego pobocza,</w:t>
      </w:r>
    </w:p>
    <w:p w:rsidR="00D71951" w:rsidRPr="006009CC" w:rsidRDefault="00D71951" w:rsidP="002C33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6009CC">
        <w:rPr>
          <w:rFonts w:cs="Calibri"/>
          <w:color w:val="000000"/>
          <w:sz w:val="20"/>
          <w:szCs w:val="20"/>
        </w:rPr>
        <w:t>odtworzenie przeszkód czasowo usuniętych,</w:t>
      </w:r>
    </w:p>
    <w:p w:rsidR="00D71951" w:rsidRPr="006009CC" w:rsidRDefault="00D71951" w:rsidP="002C33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6009CC">
        <w:rPr>
          <w:rFonts w:cs="Calibri"/>
          <w:color w:val="000000"/>
          <w:sz w:val="20"/>
          <w:szCs w:val="20"/>
        </w:rPr>
        <w:t>niezbędne uzupełnienia zniszczonej w czasie robót roślinności, np. zatrawienia,</w:t>
      </w:r>
    </w:p>
    <w:p w:rsidR="00D71951" w:rsidRPr="006009CC" w:rsidRDefault="00D71951" w:rsidP="002C33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6009CC">
        <w:rPr>
          <w:rFonts w:cs="Calibri"/>
          <w:color w:val="000000"/>
          <w:sz w:val="20"/>
          <w:szCs w:val="20"/>
        </w:rPr>
        <w:t>roboty porządkujące otoczenie terenu robót.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6009C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  <w:r w:rsidRPr="000134EE">
        <w:rPr>
          <w:rFonts w:cs="Calibri"/>
          <w:b/>
          <w:color w:val="000000"/>
          <w:sz w:val="20"/>
          <w:szCs w:val="20"/>
        </w:rPr>
        <w:t>6. KONTROLA JAKOŚCI ROBÓT</w:t>
      </w:r>
    </w:p>
    <w:p w:rsidR="00D71951" w:rsidRPr="000134EE" w:rsidRDefault="00D71951" w:rsidP="006009C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6.1. Ogólne zasady kontroli jakości robót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Ogólne zasady kontroli jakości robót podano w OST D-M-00.00.00 „Wymagania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ogólne” [1] pkt 6.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6009C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6.2. Badania przed przystąpieniem do robót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Przed przystąpieniem do robót Wykonawca powinien:</w:t>
      </w:r>
    </w:p>
    <w:p w:rsidR="00D71951" w:rsidRPr="006009CC" w:rsidRDefault="00D71951" w:rsidP="002C33C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6009CC">
        <w:rPr>
          <w:rFonts w:cs="Calibri"/>
          <w:color w:val="000000"/>
          <w:sz w:val="20"/>
          <w:szCs w:val="20"/>
        </w:rPr>
        <w:t>uzyskać wymagane dokumenty, dopuszczające wyroby budowlane do obrotu i powszechnego stosowania (aprobaty techniczne, certyfikaty zgodności, deklaracje zgodności, ew. badania materiałów wykonane przez dostawców itp.),</w:t>
      </w:r>
    </w:p>
    <w:p w:rsidR="00D71951" w:rsidRPr="006009CC" w:rsidRDefault="00D71951" w:rsidP="002C33C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6009CC">
        <w:rPr>
          <w:rFonts w:cs="Calibri"/>
          <w:color w:val="000000"/>
          <w:sz w:val="20"/>
          <w:szCs w:val="20"/>
        </w:rPr>
        <w:t>ew. wykonać własne badania właściwości materiałów przeznaczonych do wykonania</w:t>
      </w:r>
      <w:r>
        <w:rPr>
          <w:rFonts w:cs="Calibri"/>
          <w:color w:val="000000"/>
          <w:sz w:val="20"/>
          <w:szCs w:val="20"/>
        </w:rPr>
        <w:t xml:space="preserve"> </w:t>
      </w:r>
      <w:r w:rsidRPr="006009CC">
        <w:rPr>
          <w:rFonts w:cs="Calibri"/>
          <w:color w:val="000000"/>
          <w:sz w:val="20"/>
          <w:szCs w:val="20"/>
        </w:rPr>
        <w:t>robót, określone przez Inżyniera,</w:t>
      </w:r>
    </w:p>
    <w:p w:rsidR="00D71951" w:rsidRPr="006009CC" w:rsidRDefault="00D71951" w:rsidP="002C33C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6009CC">
        <w:rPr>
          <w:rFonts w:cs="Calibri"/>
          <w:color w:val="000000"/>
          <w:sz w:val="20"/>
          <w:szCs w:val="20"/>
        </w:rPr>
        <w:t>sprawdzić cechy zewnętrzne gotowych materiałów z tworzyw i prefabrykowanych.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Wszystkie dokumenty oraz wyniki badań Wykonawca przedstawia Inżynierowi do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akceptacji.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6009C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6.3. Badania w czasie robót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Częstotliwość oraz zakres badań i pomiarów, które należy wykonać w czasie robót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podaje tablica 1.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i/>
          <w:color w:val="000000"/>
          <w:sz w:val="18"/>
          <w:szCs w:val="20"/>
        </w:rPr>
      </w:pPr>
      <w:r w:rsidRPr="000134EE">
        <w:rPr>
          <w:rFonts w:cs="Calibri"/>
          <w:i/>
          <w:color w:val="000000"/>
          <w:sz w:val="18"/>
          <w:szCs w:val="20"/>
        </w:rPr>
        <w:t>Tablica 1. Częstotliwość oraz zakres badań i pomiarów w czasie robót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Default="00D71951" w:rsidP="0099780E">
      <w:pPr>
        <w:autoSpaceDE w:val="0"/>
        <w:autoSpaceDN w:val="0"/>
        <w:adjustRightInd w:val="0"/>
        <w:spacing w:after="0" w:line="240" w:lineRule="auto"/>
        <w:ind w:left="364"/>
        <w:jc w:val="center"/>
        <w:rPr>
          <w:rFonts w:cs="Calibri"/>
          <w:color w:val="000000"/>
          <w:sz w:val="20"/>
          <w:szCs w:val="20"/>
        </w:rPr>
      </w:pPr>
      <w:r w:rsidRPr="00BF201D">
        <w:rPr>
          <w:rFonts w:cs="Calibri"/>
          <w:color w:val="00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25pt;height:131.25pt">
            <v:imagedata r:id="rId7" o:title=""/>
          </v:shape>
        </w:pic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99780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6.</w:t>
      </w:r>
      <w:r>
        <w:rPr>
          <w:rFonts w:cs="Calibri"/>
          <w:color w:val="000000"/>
          <w:sz w:val="20"/>
          <w:szCs w:val="20"/>
        </w:rPr>
        <w:t>4. Badania po zakończeniu robót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Wykonane utwardzone pobocze powinno spełniać następujące wymagania:</w:t>
      </w:r>
    </w:p>
    <w:p w:rsidR="00D71951" w:rsidRPr="008D079D" w:rsidRDefault="00D71951" w:rsidP="002C33C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189"/>
        <w:jc w:val="both"/>
        <w:rPr>
          <w:rFonts w:cs="Calibri"/>
          <w:color w:val="000000"/>
          <w:sz w:val="20"/>
          <w:szCs w:val="20"/>
        </w:rPr>
      </w:pPr>
      <w:r w:rsidRPr="008D079D">
        <w:rPr>
          <w:rFonts w:cs="Calibri"/>
          <w:color w:val="000000"/>
          <w:sz w:val="20"/>
          <w:szCs w:val="20"/>
        </w:rPr>
        <w:t>szerokość utwardzonego pobocza może się różnić od szerokości projektowanej nie</w:t>
      </w:r>
      <w:r>
        <w:rPr>
          <w:rFonts w:cs="Calibri"/>
          <w:color w:val="000000"/>
          <w:sz w:val="20"/>
          <w:szCs w:val="20"/>
        </w:rPr>
        <w:t xml:space="preserve"> </w:t>
      </w:r>
      <w:r w:rsidRPr="008D079D">
        <w:rPr>
          <w:rFonts w:cs="Calibri"/>
          <w:color w:val="000000"/>
          <w:sz w:val="20"/>
          <w:szCs w:val="20"/>
        </w:rPr>
        <w:t>więcej niż +10 cm i -5 cm,</w:t>
      </w:r>
    </w:p>
    <w:p w:rsidR="00D71951" w:rsidRPr="008D079D" w:rsidRDefault="00D71951" w:rsidP="002C33C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189"/>
        <w:jc w:val="both"/>
        <w:rPr>
          <w:rFonts w:cs="Calibri"/>
          <w:color w:val="000000"/>
          <w:sz w:val="20"/>
          <w:szCs w:val="20"/>
        </w:rPr>
      </w:pPr>
      <w:r w:rsidRPr="008D079D">
        <w:rPr>
          <w:rFonts w:cs="Calibri"/>
          <w:color w:val="000000"/>
          <w:sz w:val="20"/>
          <w:szCs w:val="20"/>
        </w:rPr>
        <w:t>nierówności pobocza mierzone 4-metrową łatą nie mogą przekraczać 10 mm,</w:t>
      </w:r>
    </w:p>
    <w:p w:rsidR="00D71951" w:rsidRPr="008D079D" w:rsidRDefault="00D71951" w:rsidP="002C33C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189"/>
        <w:jc w:val="both"/>
        <w:rPr>
          <w:rFonts w:cs="Calibri"/>
          <w:color w:val="000000"/>
          <w:sz w:val="20"/>
          <w:szCs w:val="20"/>
        </w:rPr>
      </w:pPr>
      <w:r w:rsidRPr="008D079D">
        <w:rPr>
          <w:rFonts w:cs="Calibri"/>
          <w:color w:val="000000"/>
          <w:sz w:val="20"/>
          <w:szCs w:val="20"/>
        </w:rPr>
        <w:t>spadki poprzeczne powinny być zgodne z dokumentacją projektową z tolerancją</w:t>
      </w:r>
      <w:r>
        <w:rPr>
          <w:rFonts w:cs="Calibri"/>
          <w:color w:val="000000"/>
          <w:sz w:val="20"/>
          <w:szCs w:val="20"/>
        </w:rPr>
        <w:t xml:space="preserve"> </w:t>
      </w:r>
      <w:r w:rsidRPr="008D079D">
        <w:rPr>
          <w:rFonts w:cs="Calibri"/>
          <w:color w:val="000000"/>
          <w:sz w:val="20"/>
          <w:szCs w:val="20"/>
        </w:rPr>
        <w:t>± 0,5%,</w:t>
      </w:r>
    </w:p>
    <w:p w:rsidR="00D71951" w:rsidRPr="008D079D" w:rsidRDefault="00D71951" w:rsidP="002C33C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189"/>
        <w:jc w:val="both"/>
        <w:rPr>
          <w:rFonts w:cs="Calibri"/>
          <w:color w:val="000000"/>
          <w:sz w:val="20"/>
          <w:szCs w:val="20"/>
        </w:rPr>
      </w:pPr>
      <w:r w:rsidRPr="008D079D">
        <w:rPr>
          <w:rFonts w:cs="Calibri"/>
          <w:color w:val="000000"/>
          <w:sz w:val="20"/>
          <w:szCs w:val="20"/>
        </w:rPr>
        <w:t>różnice wysokościowe z rzędnymi projektowanymi nie powinny przekraczać +1 cm,</w:t>
      </w:r>
      <w:r>
        <w:rPr>
          <w:rFonts w:cs="Calibri"/>
          <w:color w:val="000000"/>
          <w:sz w:val="20"/>
          <w:szCs w:val="20"/>
        </w:rPr>
        <w:t xml:space="preserve"> </w:t>
      </w:r>
      <w:r w:rsidRPr="008D079D">
        <w:rPr>
          <w:rFonts w:cs="Calibri"/>
          <w:color w:val="000000"/>
          <w:sz w:val="20"/>
          <w:szCs w:val="20"/>
        </w:rPr>
        <w:t>-2 cm,</w:t>
      </w:r>
    </w:p>
    <w:p w:rsidR="00D71951" w:rsidRPr="008D079D" w:rsidRDefault="00D71951" w:rsidP="002C33C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189"/>
        <w:jc w:val="both"/>
        <w:rPr>
          <w:rFonts w:cs="Calibri"/>
          <w:color w:val="000000"/>
          <w:sz w:val="20"/>
          <w:szCs w:val="20"/>
        </w:rPr>
      </w:pPr>
      <w:r w:rsidRPr="008D079D">
        <w:rPr>
          <w:rFonts w:cs="Calibri"/>
          <w:color w:val="000000"/>
          <w:sz w:val="20"/>
          <w:szCs w:val="20"/>
        </w:rPr>
        <w:t>grubość utwardzonego pobocza nie może się różnić od grubości projektowanej o</w:t>
      </w:r>
      <w:r>
        <w:rPr>
          <w:rFonts w:cs="Calibri"/>
          <w:color w:val="000000"/>
          <w:sz w:val="20"/>
          <w:szCs w:val="20"/>
        </w:rPr>
        <w:t xml:space="preserve"> </w:t>
      </w:r>
      <w:r w:rsidRPr="008D079D">
        <w:rPr>
          <w:rFonts w:cs="Calibri"/>
          <w:color w:val="000000"/>
          <w:sz w:val="20"/>
          <w:szCs w:val="20"/>
        </w:rPr>
        <w:t>± 10%.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Zaleca się badać grubość utwardzonego pobocza w 3 punktach, lecz nie rzadziej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niż raz na 2000 m</w:t>
      </w:r>
      <w:r w:rsidRPr="000134EE">
        <w:rPr>
          <w:rFonts w:cs="Calibri"/>
          <w:color w:val="000000"/>
          <w:sz w:val="20"/>
          <w:szCs w:val="20"/>
          <w:vertAlign w:val="superscript"/>
        </w:rPr>
        <w:t>2</w:t>
      </w:r>
      <w:r w:rsidRPr="000134EE">
        <w:rPr>
          <w:rFonts w:cs="Calibri"/>
          <w:color w:val="000000"/>
          <w:sz w:val="20"/>
          <w:szCs w:val="20"/>
        </w:rPr>
        <w:t>, a pozostałe cechy co 100 m wzdłuż osi drogi.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8A2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  <w:r w:rsidRPr="000134EE">
        <w:rPr>
          <w:rFonts w:cs="Calibri"/>
          <w:b/>
          <w:color w:val="000000"/>
          <w:sz w:val="20"/>
          <w:szCs w:val="20"/>
        </w:rPr>
        <w:t>7. OBMIAR ROBÓT</w:t>
      </w:r>
    </w:p>
    <w:p w:rsidR="00D71951" w:rsidRPr="000134EE" w:rsidRDefault="00D71951" w:rsidP="008A29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7.1. Ogólne zasady obmiaru robót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Ogólne zasady obmiaru robót podano w OST D-M-00.00.00 „Wymagania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ogólne” [1] pkt 7.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4B641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7.2. Jednostka obmiarowa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Jednostką obmiarową jest m</w:t>
      </w:r>
      <w:r w:rsidRPr="000134EE">
        <w:rPr>
          <w:rFonts w:cs="Calibri"/>
          <w:color w:val="000000"/>
          <w:sz w:val="20"/>
          <w:szCs w:val="20"/>
          <w:vertAlign w:val="superscript"/>
        </w:rPr>
        <w:t xml:space="preserve">2 </w:t>
      </w:r>
      <w:r w:rsidRPr="000134EE">
        <w:rPr>
          <w:rFonts w:cs="Calibri"/>
          <w:color w:val="000000"/>
          <w:sz w:val="20"/>
          <w:szCs w:val="20"/>
        </w:rPr>
        <w:t>(metr kwadratowy) wykonanego utwardzonego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pobocza.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D6002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  <w:r w:rsidRPr="000134EE">
        <w:rPr>
          <w:rFonts w:cs="Calibri"/>
          <w:b/>
          <w:color w:val="000000"/>
          <w:sz w:val="20"/>
          <w:szCs w:val="20"/>
        </w:rPr>
        <w:t>8. ODBIÓR ROBÓT</w:t>
      </w:r>
    </w:p>
    <w:p w:rsidR="00D71951" w:rsidRPr="000134EE" w:rsidRDefault="00D71951" w:rsidP="00D6002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8.1. Ogólne zasady odbioru robót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Ogólne zasady odbioru robót podano w OST D-M-00.00.00 „Wymagania ogólne”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[1] pkt 8.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Roboty uznaje się za wykonane zgodnie z dokumentacją projektową, ST 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wymaganiami Inżyniera, jeżeli wszystkie pomiary i badania z zachowaniem tolerancji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według pktu 6 dały wyniki pozytywne.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D6002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8.2. Odbiór robót zanikających i ulegających zakryciu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Odbiorowi robót zanikających i ulegających zakryciu podlegają:</w:t>
      </w:r>
    </w:p>
    <w:p w:rsidR="00D71951" w:rsidRPr="00D6002E" w:rsidRDefault="00D71951" w:rsidP="002C33C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6002E">
        <w:rPr>
          <w:rFonts w:cs="Calibri"/>
          <w:color w:val="000000"/>
          <w:sz w:val="20"/>
          <w:szCs w:val="20"/>
        </w:rPr>
        <w:t>wykonanie koryta i przygotowanie podłoża.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Odbiór tych robót powinien być zgodny z wymaganiami pktu 8.2 D-M-00.00.00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„Wymagania ogólne” [1] oraz niniejszej OST.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D6002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  <w:r w:rsidRPr="000134EE">
        <w:rPr>
          <w:rFonts w:cs="Calibri"/>
          <w:b/>
          <w:color w:val="000000"/>
          <w:sz w:val="20"/>
          <w:szCs w:val="20"/>
        </w:rPr>
        <w:t>9. PODSTAWA PŁATNOŚCI</w:t>
      </w:r>
    </w:p>
    <w:p w:rsidR="00D71951" w:rsidRPr="000134EE" w:rsidRDefault="00D71951" w:rsidP="00D6002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9.1. Ogólne ustalenia dotyczące podstawy płatności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Ogólne ustalenia dotyczące podstawy płatności podano w OST D-M-00.00.00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„Wymagania ogólne” [1] pkt 9.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D6002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9.2. Cena jednostki obmiarowej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Cena wykonania 1 m2 utwardzonego pobocza obejmuje:</w:t>
      </w:r>
    </w:p>
    <w:p w:rsidR="00D71951" w:rsidRPr="00D6002E" w:rsidRDefault="00D71951" w:rsidP="002C33C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6002E">
        <w:rPr>
          <w:rFonts w:cs="Calibri"/>
          <w:color w:val="000000"/>
          <w:sz w:val="20"/>
          <w:szCs w:val="20"/>
        </w:rPr>
        <w:t>prace pomiarowe i roboty przygotowawcze,</w:t>
      </w:r>
    </w:p>
    <w:p w:rsidR="00D71951" w:rsidRPr="00D6002E" w:rsidRDefault="00D71951" w:rsidP="002C33C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6002E">
        <w:rPr>
          <w:rFonts w:cs="Calibri"/>
          <w:color w:val="000000"/>
          <w:sz w:val="20"/>
          <w:szCs w:val="20"/>
        </w:rPr>
        <w:t>oznakowanie robót,</w:t>
      </w:r>
    </w:p>
    <w:p w:rsidR="00D71951" w:rsidRPr="00D6002E" w:rsidRDefault="00D71951" w:rsidP="002C33C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6002E">
        <w:rPr>
          <w:rFonts w:cs="Calibri"/>
          <w:color w:val="000000"/>
          <w:sz w:val="20"/>
          <w:szCs w:val="20"/>
        </w:rPr>
        <w:t>przygotowanie podłoża,</w:t>
      </w:r>
    </w:p>
    <w:p w:rsidR="00D71951" w:rsidRPr="00D6002E" w:rsidRDefault="00D71951" w:rsidP="002C33C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6002E">
        <w:rPr>
          <w:rFonts w:cs="Calibri"/>
          <w:color w:val="000000"/>
          <w:sz w:val="20"/>
          <w:szCs w:val="20"/>
        </w:rPr>
        <w:t>dostarczenie materiałów i sprzętu,</w:t>
      </w:r>
    </w:p>
    <w:p w:rsidR="00D71951" w:rsidRPr="00D6002E" w:rsidRDefault="00D71951" w:rsidP="002C33C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6002E">
        <w:rPr>
          <w:rFonts w:cs="Calibri"/>
          <w:color w:val="000000"/>
          <w:sz w:val="20"/>
          <w:szCs w:val="20"/>
        </w:rPr>
        <w:t>ewentualne ścięcie istniejącego pobocza, ew. spulchnienie, wyprofilowanie i</w:t>
      </w:r>
      <w:r>
        <w:rPr>
          <w:rFonts w:cs="Calibri"/>
          <w:color w:val="000000"/>
          <w:sz w:val="20"/>
          <w:szCs w:val="20"/>
        </w:rPr>
        <w:t xml:space="preserve"> </w:t>
      </w:r>
      <w:r w:rsidRPr="00D6002E">
        <w:rPr>
          <w:rFonts w:cs="Calibri"/>
          <w:color w:val="000000"/>
          <w:sz w:val="20"/>
          <w:szCs w:val="20"/>
        </w:rPr>
        <w:t>zagęszczenie gruntowego pobocza,</w:t>
      </w:r>
    </w:p>
    <w:p w:rsidR="00D71951" w:rsidRPr="00D6002E" w:rsidRDefault="00D71951" w:rsidP="002C33C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6002E">
        <w:rPr>
          <w:rFonts w:cs="Calibri"/>
          <w:color w:val="000000"/>
          <w:sz w:val="20"/>
          <w:szCs w:val="20"/>
        </w:rPr>
        <w:t>przygotowanie i dostarczenie mieszanki kruszywa łamanego,</w:t>
      </w:r>
    </w:p>
    <w:p w:rsidR="00D71951" w:rsidRPr="00D6002E" w:rsidRDefault="00D71951" w:rsidP="002C33C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6002E">
        <w:rPr>
          <w:rFonts w:cs="Calibri"/>
          <w:color w:val="000000"/>
          <w:sz w:val="20"/>
          <w:szCs w:val="20"/>
        </w:rPr>
        <w:t>wykonanie nawierzchni utwardzonego pobocza według wymagań dokumentacji</w:t>
      </w:r>
      <w:r>
        <w:rPr>
          <w:rFonts w:cs="Calibri"/>
          <w:color w:val="000000"/>
          <w:sz w:val="20"/>
          <w:szCs w:val="20"/>
        </w:rPr>
        <w:t xml:space="preserve"> </w:t>
      </w:r>
      <w:r w:rsidRPr="00D6002E">
        <w:rPr>
          <w:rFonts w:cs="Calibri"/>
          <w:color w:val="000000"/>
          <w:sz w:val="20"/>
          <w:szCs w:val="20"/>
        </w:rPr>
        <w:t>projektowej, ST i specyfikacji technicznej,</w:t>
      </w:r>
    </w:p>
    <w:p w:rsidR="00D71951" w:rsidRPr="00D6002E" w:rsidRDefault="00D71951" w:rsidP="002C33C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6002E">
        <w:rPr>
          <w:rFonts w:cs="Calibri"/>
          <w:color w:val="000000"/>
          <w:sz w:val="20"/>
          <w:szCs w:val="20"/>
        </w:rPr>
        <w:t>przeprowadzenie pomiarów i badań wymaganych w specyfikacji technicznej,</w:t>
      </w:r>
    </w:p>
    <w:p w:rsidR="00D71951" w:rsidRPr="00D6002E" w:rsidRDefault="00D71951" w:rsidP="002C33C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6002E">
        <w:rPr>
          <w:rFonts w:cs="Calibri"/>
          <w:color w:val="000000"/>
          <w:sz w:val="20"/>
          <w:szCs w:val="20"/>
        </w:rPr>
        <w:t>odwiezienie sprzętu.</w:t>
      </w:r>
    </w:p>
    <w:p w:rsidR="00D71951" w:rsidRPr="00D6002E" w:rsidRDefault="00D71951" w:rsidP="00D6002E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D6002E" w:rsidRDefault="00D71951" w:rsidP="00D6002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6002E">
        <w:rPr>
          <w:rFonts w:cs="Calibri"/>
          <w:color w:val="000000"/>
          <w:sz w:val="20"/>
          <w:szCs w:val="20"/>
        </w:rPr>
        <w:t>9.3. Sposób rozliczenia robót tymczasowych i prac towarzyszących</w:t>
      </w:r>
    </w:p>
    <w:p w:rsidR="00D71951" w:rsidRPr="00D6002E" w:rsidRDefault="00D71951" w:rsidP="00D6002E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D6002E">
        <w:rPr>
          <w:rFonts w:cs="Calibri"/>
          <w:color w:val="000000"/>
          <w:sz w:val="20"/>
          <w:szCs w:val="20"/>
        </w:rPr>
        <w:t>Cena wykonania robót określonych niniejszą OST obejmuje:</w:t>
      </w:r>
    </w:p>
    <w:p w:rsidR="00D71951" w:rsidRPr="00D6002E" w:rsidRDefault="00D71951" w:rsidP="002C33C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6002E">
        <w:rPr>
          <w:rFonts w:cs="Calibri"/>
          <w:color w:val="000000"/>
          <w:sz w:val="20"/>
          <w:szCs w:val="20"/>
        </w:rPr>
        <w:t>roboty tymczasowe, które są potrzebne do wykonania robót podstawowych, ale nie są</w:t>
      </w:r>
      <w:r>
        <w:rPr>
          <w:rFonts w:cs="Calibri"/>
          <w:color w:val="000000"/>
          <w:sz w:val="20"/>
          <w:szCs w:val="20"/>
        </w:rPr>
        <w:t xml:space="preserve"> </w:t>
      </w:r>
      <w:r w:rsidRPr="00D6002E">
        <w:rPr>
          <w:rFonts w:cs="Calibri"/>
          <w:color w:val="000000"/>
          <w:sz w:val="20"/>
          <w:szCs w:val="20"/>
        </w:rPr>
        <w:t>przekazywane Zamawiającemu i są usuwane po wykonaniu robót podstawowych,</w:t>
      </w:r>
    </w:p>
    <w:p w:rsidR="00D71951" w:rsidRPr="00D6002E" w:rsidRDefault="00D71951" w:rsidP="002C33C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6002E">
        <w:rPr>
          <w:rFonts w:cs="Calibri"/>
          <w:color w:val="000000"/>
          <w:sz w:val="20"/>
          <w:szCs w:val="20"/>
        </w:rPr>
        <w:t>prace towarzyszące, które są niezbędne do wykonania robót podstawowych,</w:t>
      </w:r>
      <w:r>
        <w:rPr>
          <w:rFonts w:cs="Calibri"/>
          <w:color w:val="000000"/>
          <w:sz w:val="20"/>
          <w:szCs w:val="20"/>
        </w:rPr>
        <w:t xml:space="preserve"> </w:t>
      </w:r>
      <w:r w:rsidRPr="00D6002E">
        <w:rPr>
          <w:rFonts w:cs="Calibri"/>
          <w:color w:val="000000"/>
          <w:sz w:val="20"/>
          <w:szCs w:val="20"/>
        </w:rPr>
        <w:t>niezaliczane do robót tymczasowych, jak geodezyjne wytyczenie robót itd.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D6002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  <w:r w:rsidRPr="000134EE">
        <w:rPr>
          <w:rFonts w:cs="Calibri"/>
          <w:b/>
          <w:color w:val="000000"/>
          <w:sz w:val="20"/>
          <w:szCs w:val="20"/>
        </w:rPr>
        <w:t>10. PRZEPISY ZWIAZANE</w:t>
      </w:r>
    </w:p>
    <w:p w:rsidR="00D71951" w:rsidRPr="000134EE" w:rsidRDefault="00D71951" w:rsidP="00D6002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10.1. Ogólne specyfikacje techniczne (OST)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1. D-M-00.00.00 Wymagania ogólne</w:t>
      </w:r>
      <w:r>
        <w:rPr>
          <w:rFonts w:cs="Calibri"/>
          <w:color w:val="000000"/>
          <w:sz w:val="20"/>
          <w:szCs w:val="20"/>
        </w:rPr>
        <w:t>;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2. D-01.00.00 Roboty przygotowawcze</w:t>
      </w:r>
      <w:r>
        <w:rPr>
          <w:rFonts w:cs="Calibri"/>
          <w:color w:val="000000"/>
          <w:sz w:val="20"/>
          <w:szCs w:val="20"/>
        </w:rPr>
        <w:t>;</w:t>
      </w:r>
    </w:p>
    <w:p w:rsidR="00D71951" w:rsidRPr="000134EE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3. D-02.00.00 Roboty ziemne</w:t>
      </w:r>
      <w:r>
        <w:rPr>
          <w:rFonts w:cs="Calibri"/>
          <w:color w:val="000000"/>
          <w:sz w:val="20"/>
          <w:szCs w:val="20"/>
        </w:rPr>
        <w:t>;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FA57B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10.2. Normy</w:t>
      </w:r>
    </w:p>
    <w:p w:rsidR="00D71951" w:rsidRPr="000134EE" w:rsidRDefault="00D71951" w:rsidP="00FA57B3">
      <w:pPr>
        <w:autoSpaceDE w:val="0"/>
        <w:autoSpaceDN w:val="0"/>
        <w:adjustRightInd w:val="0"/>
        <w:spacing w:after="0" w:line="240" w:lineRule="auto"/>
        <w:ind w:left="2548" w:hanging="218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 xml:space="preserve">4. PN-EN 13242:2004 </w:t>
      </w:r>
      <w:r>
        <w:rPr>
          <w:rFonts w:cs="Calibri"/>
          <w:color w:val="000000"/>
          <w:sz w:val="20"/>
          <w:szCs w:val="20"/>
        </w:rPr>
        <w:tab/>
      </w:r>
      <w:r w:rsidRPr="000134EE">
        <w:rPr>
          <w:rFonts w:cs="Calibri"/>
          <w:color w:val="000000"/>
          <w:sz w:val="20"/>
          <w:szCs w:val="20"/>
        </w:rPr>
        <w:t>Kruszywa do niezwiązanych i związanych hydraulicznie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 xml:space="preserve">materiałów stosowanych </w:t>
      </w:r>
      <w:r>
        <w:rPr>
          <w:rFonts w:cs="Calibri"/>
          <w:color w:val="000000"/>
          <w:sz w:val="20"/>
          <w:szCs w:val="20"/>
        </w:rPr>
        <w:br/>
      </w:r>
      <w:r w:rsidRPr="000134EE">
        <w:rPr>
          <w:rFonts w:cs="Calibri"/>
          <w:color w:val="000000"/>
          <w:sz w:val="20"/>
          <w:szCs w:val="20"/>
        </w:rPr>
        <w:t>w obiektach budowlanych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i budownictwie drogowym (patrz: poz. 7 i 8)</w:t>
      </w:r>
      <w:r>
        <w:rPr>
          <w:rFonts w:cs="Calibri"/>
          <w:color w:val="000000"/>
          <w:sz w:val="20"/>
          <w:szCs w:val="20"/>
        </w:rPr>
        <w:t>;</w:t>
      </w:r>
    </w:p>
    <w:p w:rsidR="00D71951" w:rsidRPr="000134EE" w:rsidRDefault="00D71951" w:rsidP="00FA57B3">
      <w:pPr>
        <w:autoSpaceDE w:val="0"/>
        <w:autoSpaceDN w:val="0"/>
        <w:adjustRightInd w:val="0"/>
        <w:spacing w:after="0" w:line="240" w:lineRule="auto"/>
        <w:ind w:left="2548" w:hanging="218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 xml:space="preserve">5. PN-EN 13285:2004 </w:t>
      </w:r>
      <w:r>
        <w:rPr>
          <w:rFonts w:cs="Calibri"/>
          <w:color w:val="000000"/>
          <w:sz w:val="20"/>
          <w:szCs w:val="20"/>
        </w:rPr>
        <w:tab/>
      </w:r>
      <w:r w:rsidRPr="000134EE">
        <w:rPr>
          <w:rFonts w:cs="Calibri"/>
          <w:color w:val="000000"/>
          <w:sz w:val="20"/>
          <w:szCs w:val="20"/>
        </w:rPr>
        <w:t>Mieszanki niezwiązane. Specyfikacje (patrz: poz. 7 i 8)</w:t>
      </w:r>
    </w:p>
    <w:p w:rsidR="00D71951" w:rsidRPr="000134EE" w:rsidRDefault="00D71951" w:rsidP="00FA57B3">
      <w:pPr>
        <w:autoSpaceDE w:val="0"/>
        <w:autoSpaceDN w:val="0"/>
        <w:adjustRightInd w:val="0"/>
        <w:spacing w:after="0" w:line="240" w:lineRule="auto"/>
        <w:ind w:left="2548" w:hanging="218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 xml:space="preserve">6. PN-B-04481:1988 </w:t>
      </w:r>
      <w:r>
        <w:rPr>
          <w:rFonts w:cs="Calibri"/>
          <w:color w:val="000000"/>
          <w:sz w:val="20"/>
          <w:szCs w:val="20"/>
        </w:rPr>
        <w:tab/>
      </w:r>
      <w:r w:rsidRPr="000134EE">
        <w:rPr>
          <w:rFonts w:cs="Calibri"/>
          <w:color w:val="000000"/>
          <w:sz w:val="20"/>
          <w:szCs w:val="20"/>
        </w:rPr>
        <w:t>Grunty budowlane. Badanie próbek gruntu</w:t>
      </w:r>
      <w:r>
        <w:rPr>
          <w:rFonts w:cs="Calibri"/>
          <w:color w:val="000000"/>
          <w:sz w:val="20"/>
          <w:szCs w:val="20"/>
        </w:rPr>
        <w:t>;</w:t>
      </w:r>
    </w:p>
    <w:p w:rsidR="00D71951" w:rsidRPr="000134EE" w:rsidRDefault="00D71951" w:rsidP="00FA57B3">
      <w:pPr>
        <w:autoSpaceDE w:val="0"/>
        <w:autoSpaceDN w:val="0"/>
        <w:adjustRightInd w:val="0"/>
        <w:spacing w:after="0" w:line="240" w:lineRule="auto"/>
        <w:ind w:left="2548" w:hanging="218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 xml:space="preserve">7. PN-B-11112:1996 </w:t>
      </w:r>
      <w:r>
        <w:rPr>
          <w:rFonts w:cs="Calibri"/>
          <w:color w:val="000000"/>
          <w:sz w:val="20"/>
          <w:szCs w:val="20"/>
        </w:rPr>
        <w:tab/>
      </w:r>
      <w:r w:rsidRPr="000134EE">
        <w:rPr>
          <w:rFonts w:cs="Calibri"/>
          <w:color w:val="000000"/>
          <w:sz w:val="20"/>
          <w:szCs w:val="20"/>
        </w:rPr>
        <w:t>Kruszywa mineralne. Kruszywa łamane do nawierzchni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drogowych (W okresie przejściowym norma może być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stosowana zamiast poz. 4 i 5)</w:t>
      </w:r>
      <w:r>
        <w:rPr>
          <w:rFonts w:cs="Calibri"/>
          <w:color w:val="000000"/>
          <w:sz w:val="20"/>
          <w:szCs w:val="20"/>
        </w:rPr>
        <w:t>;</w:t>
      </w:r>
    </w:p>
    <w:p w:rsidR="00D71951" w:rsidRPr="000134EE" w:rsidRDefault="00D71951" w:rsidP="00FA57B3">
      <w:pPr>
        <w:autoSpaceDE w:val="0"/>
        <w:autoSpaceDN w:val="0"/>
        <w:adjustRightInd w:val="0"/>
        <w:spacing w:after="0" w:line="240" w:lineRule="auto"/>
        <w:ind w:left="2548" w:hanging="2184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 xml:space="preserve">8. PN-B-11113:1996 </w:t>
      </w:r>
      <w:r>
        <w:rPr>
          <w:rFonts w:cs="Calibri"/>
          <w:color w:val="000000"/>
          <w:sz w:val="20"/>
          <w:szCs w:val="20"/>
        </w:rPr>
        <w:tab/>
      </w:r>
      <w:r w:rsidRPr="000134EE">
        <w:rPr>
          <w:rFonts w:cs="Calibri"/>
          <w:color w:val="000000"/>
          <w:sz w:val="20"/>
          <w:szCs w:val="20"/>
        </w:rPr>
        <w:t>Kruszywa mineralne. Kruszywa naturalne do nawierzchni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drogowych. Piasek (W okresie przejściowym norma może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być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stosowana zamiast poz. 4 i 5)</w:t>
      </w:r>
      <w:r>
        <w:rPr>
          <w:rFonts w:cs="Calibri"/>
          <w:color w:val="000000"/>
          <w:sz w:val="20"/>
          <w:szCs w:val="20"/>
        </w:rPr>
        <w:t>;</w:t>
      </w:r>
    </w:p>
    <w:p w:rsidR="00D71951" w:rsidRDefault="00D71951" w:rsidP="004E6F63">
      <w:pPr>
        <w:autoSpaceDE w:val="0"/>
        <w:autoSpaceDN w:val="0"/>
        <w:adjustRightInd w:val="0"/>
        <w:spacing w:after="0" w:line="240" w:lineRule="auto"/>
        <w:ind w:left="364"/>
        <w:jc w:val="both"/>
        <w:rPr>
          <w:rFonts w:cs="Calibri"/>
          <w:color w:val="000000"/>
          <w:sz w:val="20"/>
          <w:szCs w:val="20"/>
        </w:rPr>
      </w:pPr>
    </w:p>
    <w:p w:rsidR="00D71951" w:rsidRPr="000134EE" w:rsidRDefault="00D71951" w:rsidP="00FA57B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10.3. Inne dokumenty</w:t>
      </w:r>
    </w:p>
    <w:p w:rsidR="00D71951" w:rsidRPr="000134EE" w:rsidRDefault="00D71951" w:rsidP="00FA57B3">
      <w:pPr>
        <w:autoSpaceDE w:val="0"/>
        <w:autoSpaceDN w:val="0"/>
        <w:adjustRightInd w:val="0"/>
        <w:spacing w:after="0" w:line="240" w:lineRule="auto"/>
        <w:ind w:left="630" w:hanging="266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9. Rozporządzenie Ministra Transportu i Gospodarki Morskiej z dnia 2 marca 1999 r. w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sprawie warunków technicznych, jakim powinny odpowiadać drogi publiczne i ich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usytuowanie. Dz. U. nr 43, poz. 430</w:t>
      </w:r>
      <w:bookmarkStart w:id="0" w:name="_GoBack"/>
      <w:bookmarkEnd w:id="0"/>
    </w:p>
    <w:p w:rsidR="00D71951" w:rsidRPr="000134EE" w:rsidRDefault="00D71951" w:rsidP="00FA57B3">
      <w:pPr>
        <w:autoSpaceDE w:val="0"/>
        <w:autoSpaceDN w:val="0"/>
        <w:adjustRightInd w:val="0"/>
        <w:spacing w:after="0" w:line="240" w:lineRule="auto"/>
        <w:ind w:left="630" w:hanging="266"/>
        <w:jc w:val="both"/>
        <w:rPr>
          <w:rFonts w:cs="Calibri"/>
          <w:color w:val="000000"/>
          <w:sz w:val="20"/>
          <w:szCs w:val="20"/>
        </w:rPr>
      </w:pPr>
      <w:r w:rsidRPr="000134EE">
        <w:rPr>
          <w:rFonts w:cs="Calibri"/>
          <w:color w:val="000000"/>
          <w:sz w:val="20"/>
          <w:szCs w:val="20"/>
        </w:rPr>
        <w:t>10. Wytyczne utwardzania poboczy. Centralny Zarząd Dróg Publicznych, Warszawa,</w:t>
      </w:r>
      <w:r>
        <w:rPr>
          <w:rFonts w:cs="Calibri"/>
          <w:color w:val="000000"/>
          <w:sz w:val="20"/>
          <w:szCs w:val="20"/>
        </w:rPr>
        <w:t xml:space="preserve"> </w:t>
      </w:r>
      <w:r w:rsidRPr="000134EE">
        <w:rPr>
          <w:rFonts w:cs="Calibri"/>
          <w:color w:val="000000"/>
          <w:sz w:val="20"/>
          <w:szCs w:val="20"/>
        </w:rPr>
        <w:t>1981 r.</w:t>
      </w:r>
    </w:p>
    <w:sectPr w:rsidR="00D71951" w:rsidRPr="000134EE" w:rsidSect="00E57AAC">
      <w:headerReference w:type="default" r:id="rId8"/>
      <w:footerReference w:type="default" r:id="rId9"/>
      <w:pgSz w:w="11906" w:h="16838"/>
      <w:pgMar w:top="1417" w:right="849" w:bottom="1134" w:left="1417" w:header="426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951" w:rsidRDefault="00D71951" w:rsidP="003854EB">
      <w:pPr>
        <w:spacing w:after="0" w:line="240" w:lineRule="auto"/>
      </w:pPr>
      <w:r>
        <w:separator/>
      </w:r>
    </w:p>
  </w:endnote>
  <w:endnote w:type="continuationSeparator" w:id="0">
    <w:p w:rsidR="00D71951" w:rsidRDefault="00D71951" w:rsidP="00385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951" w:rsidRPr="002B6F84" w:rsidRDefault="00D71951" w:rsidP="003854EB">
    <w:pPr>
      <w:autoSpaceDE w:val="0"/>
      <w:autoSpaceDN w:val="0"/>
      <w:adjustRightInd w:val="0"/>
      <w:spacing w:after="0" w:line="240" w:lineRule="auto"/>
      <w:rPr>
        <w:rFonts w:cs="Calibri"/>
        <w:i/>
        <w:color w:val="000000"/>
        <w:sz w:val="14"/>
        <w:szCs w:val="20"/>
      </w:rPr>
    </w:pPr>
    <w:r w:rsidRPr="002B6F84">
      <w:rPr>
        <w:rFonts w:cs="Calibri"/>
        <w:i/>
        <w:color w:val="000000"/>
        <w:sz w:val="14"/>
        <w:szCs w:val="20"/>
      </w:rPr>
      <w:t>Wykonał: R. Madej</w:t>
    </w:r>
  </w:p>
  <w:p w:rsidR="00D71951" w:rsidRDefault="00D71951" w:rsidP="00303FBB">
    <w:pPr>
      <w:pStyle w:val="Footer"/>
      <w:tabs>
        <w:tab w:val="left" w:pos="336"/>
        <w:tab w:val="right" w:pos="9356"/>
      </w:tabs>
    </w:pPr>
    <w:r>
      <w:tab/>
    </w:r>
    <w:r>
      <w:tab/>
    </w:r>
    <w:r>
      <w:tab/>
    </w:r>
    <w:r>
      <w:tab/>
    </w:r>
    <w:fldSimple w:instr="PAGE   \* MERGEFORMAT">
      <w:r>
        <w:rPr>
          <w:noProof/>
        </w:rPr>
        <w:t>6</w:t>
      </w:r>
    </w:fldSimple>
  </w:p>
  <w:p w:rsidR="00D71951" w:rsidRDefault="00D719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951" w:rsidRDefault="00D71951" w:rsidP="003854EB">
      <w:pPr>
        <w:spacing w:after="0" w:line="240" w:lineRule="auto"/>
      </w:pPr>
      <w:r>
        <w:separator/>
      </w:r>
    </w:p>
  </w:footnote>
  <w:footnote w:type="continuationSeparator" w:id="0">
    <w:p w:rsidR="00D71951" w:rsidRDefault="00D71951" w:rsidP="00385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951" w:rsidRPr="00D10B2C" w:rsidRDefault="00D71951" w:rsidP="00A0100A">
    <w:pPr>
      <w:autoSpaceDE w:val="0"/>
      <w:autoSpaceDN w:val="0"/>
      <w:adjustRightInd w:val="0"/>
      <w:spacing w:after="0" w:line="240" w:lineRule="auto"/>
      <w:jc w:val="right"/>
      <w:rPr>
        <w:rFonts w:ascii="CIDFont+F1" w:hAnsi="CIDFont+F1" w:cs="CIDFont+F1"/>
        <w:color w:val="000000"/>
        <w:sz w:val="16"/>
        <w:szCs w:val="20"/>
      </w:rPr>
    </w:pPr>
    <w:r>
      <w:rPr>
        <w:rFonts w:ascii="CIDFont+F1" w:hAnsi="CIDFont+F1" w:cs="CIDFont+F1"/>
        <w:color w:val="000000"/>
        <w:sz w:val="16"/>
        <w:szCs w:val="20"/>
      </w:rPr>
      <w:t>STWiOR nr 6</w:t>
    </w:r>
  </w:p>
  <w:p w:rsidR="00D71951" w:rsidRPr="00E15A58" w:rsidRDefault="00D71951" w:rsidP="00A0100A">
    <w:pPr>
      <w:spacing w:after="0" w:line="240" w:lineRule="auto"/>
      <w:jc w:val="right"/>
      <w:rPr>
        <w:rFonts w:cs="Calibri"/>
        <w:b/>
        <w:color w:val="808080"/>
        <w:sz w:val="6"/>
        <w:szCs w:val="16"/>
      </w:rPr>
    </w:pPr>
    <w:r>
      <w:rPr>
        <w:rFonts w:cs="Calibri"/>
        <w:sz w:val="14"/>
      </w:rPr>
      <w:t>IZP.271.2.13</w:t>
    </w:r>
    <w:r w:rsidRPr="00E15A58">
      <w:rPr>
        <w:rFonts w:cs="Calibri"/>
        <w:sz w:val="14"/>
      </w:rPr>
      <w:t xml:space="preserve">.2023                                        </w:t>
    </w:r>
    <w:r>
      <w:rPr>
        <w:rFonts w:cs="Calibri"/>
        <w:sz w:val="14"/>
      </w:rPr>
      <w:t xml:space="preserve">     </w:t>
    </w:r>
    <w:r w:rsidRPr="00E15A58">
      <w:rPr>
        <w:rFonts w:cs="Calibri"/>
        <w:sz w:val="14"/>
      </w:rPr>
      <w:t xml:space="preserve">                                              </w:t>
    </w:r>
    <w:r>
      <w:rPr>
        <w:rFonts w:cs="Calibri"/>
        <w:sz w:val="14"/>
      </w:rPr>
      <w:t xml:space="preserve">                                          </w:t>
    </w:r>
    <w:r w:rsidRPr="00E15A58">
      <w:rPr>
        <w:rFonts w:cs="Calibri"/>
        <w:sz w:val="14"/>
      </w:rPr>
      <w:t xml:space="preserve">                                </w:t>
    </w:r>
    <w:r>
      <w:rPr>
        <w:rFonts w:cs="Calibri"/>
        <w:sz w:val="14"/>
      </w:rPr>
      <w:t xml:space="preserve">        </w:t>
    </w:r>
    <w:r w:rsidRPr="00E15A58">
      <w:rPr>
        <w:rFonts w:cs="Calibri"/>
        <w:sz w:val="14"/>
      </w:rPr>
      <w:t xml:space="preserve"> </w:t>
    </w:r>
    <w:r w:rsidRPr="000C067B">
      <w:rPr>
        <w:sz w:val="14"/>
        <w:szCs w:val="16"/>
      </w:rPr>
      <w:t>„Przebudowa ul. Warzywnej w Dąbrowie Tarnowskiej”</w:t>
    </w:r>
  </w:p>
  <w:p w:rsidR="00D71951" w:rsidRPr="008065A5" w:rsidRDefault="00D71951" w:rsidP="008065A5">
    <w:pPr>
      <w:pStyle w:val="Header"/>
    </w:pPr>
    <w:r>
      <w:rPr>
        <w:noProof/>
        <w:lang w:eastAsia="pl-PL"/>
      </w:rPr>
      <w:pict>
        <v:line id="_x0000_s2049" style="position:absolute;z-index:251660288" from="0,4.8pt" to="477pt,4.8pt" strokecolor="gray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41DC"/>
    <w:multiLevelType w:val="hybridMultilevel"/>
    <w:tmpl w:val="A1748C58"/>
    <w:lvl w:ilvl="0" w:tplc="0415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">
    <w:nsid w:val="1BB4783C"/>
    <w:multiLevelType w:val="hybridMultilevel"/>
    <w:tmpl w:val="B87CEB0E"/>
    <w:lvl w:ilvl="0" w:tplc="0415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2">
    <w:nsid w:val="1BE67568"/>
    <w:multiLevelType w:val="hybridMultilevel"/>
    <w:tmpl w:val="568C9560"/>
    <w:lvl w:ilvl="0" w:tplc="0415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>
    <w:nsid w:val="48967148"/>
    <w:multiLevelType w:val="hybridMultilevel"/>
    <w:tmpl w:val="4EF8E8A8"/>
    <w:lvl w:ilvl="0" w:tplc="0415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4">
    <w:nsid w:val="62937C0D"/>
    <w:multiLevelType w:val="hybridMultilevel"/>
    <w:tmpl w:val="BA5013E8"/>
    <w:lvl w:ilvl="0" w:tplc="0415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5">
    <w:nsid w:val="65A36082"/>
    <w:multiLevelType w:val="hybridMultilevel"/>
    <w:tmpl w:val="663C73E2"/>
    <w:lvl w:ilvl="0" w:tplc="0415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4EB"/>
    <w:rsid w:val="00002A5B"/>
    <w:rsid w:val="00006F58"/>
    <w:rsid w:val="00011494"/>
    <w:rsid w:val="000134EE"/>
    <w:rsid w:val="00025C18"/>
    <w:rsid w:val="00030F4B"/>
    <w:rsid w:val="00044AEC"/>
    <w:rsid w:val="000541B1"/>
    <w:rsid w:val="000634D6"/>
    <w:rsid w:val="000715B9"/>
    <w:rsid w:val="0007751D"/>
    <w:rsid w:val="000B0656"/>
    <w:rsid w:val="000C067B"/>
    <w:rsid w:val="000E7F6D"/>
    <w:rsid w:val="000F33AE"/>
    <w:rsid w:val="0011412D"/>
    <w:rsid w:val="001201FA"/>
    <w:rsid w:val="00157224"/>
    <w:rsid w:val="00165D0B"/>
    <w:rsid w:val="00165DE3"/>
    <w:rsid w:val="00176307"/>
    <w:rsid w:val="001903B8"/>
    <w:rsid w:val="001A2781"/>
    <w:rsid w:val="001B205A"/>
    <w:rsid w:val="001B37AB"/>
    <w:rsid w:val="001B5044"/>
    <w:rsid w:val="001C31F4"/>
    <w:rsid w:val="001C5EBE"/>
    <w:rsid w:val="001D0D9F"/>
    <w:rsid w:val="001D706D"/>
    <w:rsid w:val="001F4B56"/>
    <w:rsid w:val="002234BE"/>
    <w:rsid w:val="002333EB"/>
    <w:rsid w:val="00261B5F"/>
    <w:rsid w:val="00263CAE"/>
    <w:rsid w:val="00266330"/>
    <w:rsid w:val="0029494C"/>
    <w:rsid w:val="002A4012"/>
    <w:rsid w:val="002B6F84"/>
    <w:rsid w:val="002C33CE"/>
    <w:rsid w:val="002C79E2"/>
    <w:rsid w:val="002D1E55"/>
    <w:rsid w:val="002E3C57"/>
    <w:rsid w:val="00303FBB"/>
    <w:rsid w:val="00306A09"/>
    <w:rsid w:val="00330131"/>
    <w:rsid w:val="003451D4"/>
    <w:rsid w:val="003479B3"/>
    <w:rsid w:val="0035094F"/>
    <w:rsid w:val="00350DE7"/>
    <w:rsid w:val="0035500C"/>
    <w:rsid w:val="003570BB"/>
    <w:rsid w:val="00360D8C"/>
    <w:rsid w:val="003854EB"/>
    <w:rsid w:val="003A6B65"/>
    <w:rsid w:val="00403D3E"/>
    <w:rsid w:val="0041459C"/>
    <w:rsid w:val="0046137A"/>
    <w:rsid w:val="0046215F"/>
    <w:rsid w:val="00472890"/>
    <w:rsid w:val="0049226D"/>
    <w:rsid w:val="004B6417"/>
    <w:rsid w:val="004C1D86"/>
    <w:rsid w:val="004E0ECB"/>
    <w:rsid w:val="004E6F63"/>
    <w:rsid w:val="004F3842"/>
    <w:rsid w:val="0052538B"/>
    <w:rsid w:val="00525832"/>
    <w:rsid w:val="00537A1A"/>
    <w:rsid w:val="00543EF4"/>
    <w:rsid w:val="00560466"/>
    <w:rsid w:val="00567DEA"/>
    <w:rsid w:val="005849C8"/>
    <w:rsid w:val="005A2B5D"/>
    <w:rsid w:val="005A5135"/>
    <w:rsid w:val="005E13A7"/>
    <w:rsid w:val="005E1635"/>
    <w:rsid w:val="005E4487"/>
    <w:rsid w:val="006009CC"/>
    <w:rsid w:val="00607D64"/>
    <w:rsid w:val="00622036"/>
    <w:rsid w:val="00623B00"/>
    <w:rsid w:val="00653D37"/>
    <w:rsid w:val="00657614"/>
    <w:rsid w:val="00666603"/>
    <w:rsid w:val="0067228C"/>
    <w:rsid w:val="0069087E"/>
    <w:rsid w:val="006A45F5"/>
    <w:rsid w:val="006D106F"/>
    <w:rsid w:val="006E0600"/>
    <w:rsid w:val="006F562C"/>
    <w:rsid w:val="00713621"/>
    <w:rsid w:val="0072481A"/>
    <w:rsid w:val="00724C81"/>
    <w:rsid w:val="00751C77"/>
    <w:rsid w:val="00764588"/>
    <w:rsid w:val="00773D03"/>
    <w:rsid w:val="0078624E"/>
    <w:rsid w:val="00794DF7"/>
    <w:rsid w:val="007B4C8B"/>
    <w:rsid w:val="007B7F62"/>
    <w:rsid w:val="007C2E58"/>
    <w:rsid w:val="007C3D45"/>
    <w:rsid w:val="007C417C"/>
    <w:rsid w:val="007D6189"/>
    <w:rsid w:val="007E0692"/>
    <w:rsid w:val="007E4B06"/>
    <w:rsid w:val="008047CF"/>
    <w:rsid w:val="008065A5"/>
    <w:rsid w:val="008308E8"/>
    <w:rsid w:val="008566B2"/>
    <w:rsid w:val="008A298A"/>
    <w:rsid w:val="008A7F71"/>
    <w:rsid w:val="008B2F88"/>
    <w:rsid w:val="008D079D"/>
    <w:rsid w:val="008E1078"/>
    <w:rsid w:val="008E6148"/>
    <w:rsid w:val="009033F0"/>
    <w:rsid w:val="00906DFE"/>
    <w:rsid w:val="00916C8D"/>
    <w:rsid w:val="009441D9"/>
    <w:rsid w:val="00954D05"/>
    <w:rsid w:val="00982849"/>
    <w:rsid w:val="0099780E"/>
    <w:rsid w:val="009A3AB8"/>
    <w:rsid w:val="009C6957"/>
    <w:rsid w:val="009E330C"/>
    <w:rsid w:val="00A0100A"/>
    <w:rsid w:val="00A11ABB"/>
    <w:rsid w:val="00A2605D"/>
    <w:rsid w:val="00A2651C"/>
    <w:rsid w:val="00A3176D"/>
    <w:rsid w:val="00A3679B"/>
    <w:rsid w:val="00A37CE6"/>
    <w:rsid w:val="00A87F6C"/>
    <w:rsid w:val="00A9562E"/>
    <w:rsid w:val="00AA5536"/>
    <w:rsid w:val="00AB76D8"/>
    <w:rsid w:val="00AC0816"/>
    <w:rsid w:val="00AC352D"/>
    <w:rsid w:val="00AC6A3D"/>
    <w:rsid w:val="00AF450E"/>
    <w:rsid w:val="00AF7096"/>
    <w:rsid w:val="00B0185A"/>
    <w:rsid w:val="00B02414"/>
    <w:rsid w:val="00B10515"/>
    <w:rsid w:val="00B13430"/>
    <w:rsid w:val="00B24C79"/>
    <w:rsid w:val="00B33E6E"/>
    <w:rsid w:val="00B4621D"/>
    <w:rsid w:val="00B54B61"/>
    <w:rsid w:val="00B6446D"/>
    <w:rsid w:val="00B77EFA"/>
    <w:rsid w:val="00B94FBE"/>
    <w:rsid w:val="00BD7B58"/>
    <w:rsid w:val="00BF201D"/>
    <w:rsid w:val="00BF5126"/>
    <w:rsid w:val="00BF5607"/>
    <w:rsid w:val="00C07AA3"/>
    <w:rsid w:val="00C135C7"/>
    <w:rsid w:val="00C17681"/>
    <w:rsid w:val="00C27FA9"/>
    <w:rsid w:val="00C50739"/>
    <w:rsid w:val="00C66B13"/>
    <w:rsid w:val="00C74B75"/>
    <w:rsid w:val="00C753C8"/>
    <w:rsid w:val="00C96E60"/>
    <w:rsid w:val="00CA2C92"/>
    <w:rsid w:val="00CA5CF5"/>
    <w:rsid w:val="00CC4593"/>
    <w:rsid w:val="00CE4D41"/>
    <w:rsid w:val="00CF56ED"/>
    <w:rsid w:val="00D019C3"/>
    <w:rsid w:val="00D01D3D"/>
    <w:rsid w:val="00D10B2C"/>
    <w:rsid w:val="00D1521F"/>
    <w:rsid w:val="00D23ADB"/>
    <w:rsid w:val="00D31011"/>
    <w:rsid w:val="00D507FB"/>
    <w:rsid w:val="00D52BAE"/>
    <w:rsid w:val="00D54E7E"/>
    <w:rsid w:val="00D6002E"/>
    <w:rsid w:val="00D67A76"/>
    <w:rsid w:val="00D71951"/>
    <w:rsid w:val="00DB5345"/>
    <w:rsid w:val="00DC538C"/>
    <w:rsid w:val="00DD24C7"/>
    <w:rsid w:val="00E03AD5"/>
    <w:rsid w:val="00E15A58"/>
    <w:rsid w:val="00E174BD"/>
    <w:rsid w:val="00E24A5E"/>
    <w:rsid w:val="00E4112E"/>
    <w:rsid w:val="00E420CC"/>
    <w:rsid w:val="00E57AAC"/>
    <w:rsid w:val="00E733EE"/>
    <w:rsid w:val="00E806C0"/>
    <w:rsid w:val="00E82025"/>
    <w:rsid w:val="00E86F9D"/>
    <w:rsid w:val="00E92AAC"/>
    <w:rsid w:val="00EA57F1"/>
    <w:rsid w:val="00ED1287"/>
    <w:rsid w:val="00EE0888"/>
    <w:rsid w:val="00EF2C20"/>
    <w:rsid w:val="00F15391"/>
    <w:rsid w:val="00F20EB6"/>
    <w:rsid w:val="00F52CD3"/>
    <w:rsid w:val="00F6190D"/>
    <w:rsid w:val="00F61F26"/>
    <w:rsid w:val="00F621BD"/>
    <w:rsid w:val="00F67910"/>
    <w:rsid w:val="00F9047E"/>
    <w:rsid w:val="00FA4916"/>
    <w:rsid w:val="00FA57B3"/>
    <w:rsid w:val="00FB3239"/>
    <w:rsid w:val="00FC783B"/>
    <w:rsid w:val="00FC7ADB"/>
    <w:rsid w:val="00FD1E6A"/>
    <w:rsid w:val="00FE5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7F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854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85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54E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5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54E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85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54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A3A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37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8</Pages>
  <Words>2483</Words>
  <Characters>14903</Characters>
  <Application>Microsoft Office Outlook</Application>
  <DocSecurity>0</DocSecurity>
  <Lines>0</Lines>
  <Paragraphs>0</Paragraphs>
  <ScaleCrop>false</ScaleCrop>
  <Company>PKiI UMDT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Piotr</cp:lastModifiedBy>
  <cp:revision>25</cp:revision>
  <dcterms:created xsi:type="dcterms:W3CDTF">2023-06-14T05:57:00Z</dcterms:created>
  <dcterms:modified xsi:type="dcterms:W3CDTF">2023-06-15T07:38:00Z</dcterms:modified>
</cp:coreProperties>
</file>